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B6B5" w14:textId="77777777" w:rsidR="00BF5E34" w:rsidRDefault="00BF5E34">
      <w:pPr>
        <w:pStyle w:val="Corpsdetexte"/>
        <w:spacing w:before="8"/>
        <w:rPr>
          <w:rFonts w:ascii="Times New Roman"/>
          <w:sz w:val="28"/>
        </w:rPr>
      </w:pPr>
    </w:p>
    <w:p w14:paraId="3013B6B6" w14:textId="77777777" w:rsidR="00BF5E34" w:rsidRDefault="007007B2">
      <w:pPr>
        <w:pStyle w:val="Titre"/>
      </w:pPr>
      <w:r>
        <w:rPr>
          <w:color w:val="E14E35"/>
        </w:rPr>
        <w:t>Programme de démonstration de technologies du CCN</w:t>
      </w:r>
    </w:p>
    <w:p w14:paraId="3013B6B7" w14:textId="77777777" w:rsidR="00BF5E34" w:rsidRDefault="007007B2">
      <w:pPr>
        <w:spacing w:before="241"/>
        <w:ind w:left="119"/>
        <w:rPr>
          <w:rFonts w:ascii="Cambria"/>
          <w:sz w:val="32"/>
        </w:rPr>
      </w:pPr>
      <w:r>
        <w:rPr>
          <w:rFonts w:ascii="Cambria"/>
          <w:color w:val="365F91"/>
          <w:sz w:val="32"/>
        </w:rPr>
        <w:t>Table des mati</w:t>
      </w:r>
      <w:r>
        <w:rPr>
          <w:rFonts w:ascii="Cambria"/>
          <w:color w:val="365F91"/>
          <w:sz w:val="32"/>
        </w:rPr>
        <w:t>è</w:t>
      </w:r>
      <w:r>
        <w:rPr>
          <w:rFonts w:ascii="Cambria"/>
          <w:color w:val="365F91"/>
          <w:sz w:val="32"/>
        </w:rPr>
        <w:t>res</w:t>
      </w:r>
    </w:p>
    <w:sdt>
      <w:sdtPr>
        <w:id w:val="1795490824"/>
        <w:docPartObj>
          <w:docPartGallery w:val="Table of Contents"/>
          <w:docPartUnique/>
        </w:docPartObj>
      </w:sdtPr>
      <w:sdtEndPr/>
      <w:sdtContent>
        <w:p w14:paraId="3013B6B8" w14:textId="77777777" w:rsidR="00BF5E34" w:rsidRDefault="0074184E">
          <w:pPr>
            <w:pStyle w:val="TM1"/>
            <w:tabs>
              <w:tab w:val="right" w:leader="dot" w:pos="9672"/>
            </w:tabs>
            <w:spacing w:before="181"/>
          </w:pPr>
          <w:hyperlink w:anchor="_bookmark0" w:history="1">
            <w:r w:rsidR="007007B2">
              <w:t>Information sur le programme et conditions d’admissibilité</w:t>
            </w:r>
            <w:r w:rsidR="007007B2">
              <w:tab/>
              <w:t>2</w:t>
            </w:r>
          </w:hyperlink>
        </w:p>
        <w:p w14:paraId="3013B6B9" w14:textId="77777777" w:rsidR="00BF5E34" w:rsidRDefault="0074184E">
          <w:pPr>
            <w:pStyle w:val="TM2"/>
            <w:tabs>
              <w:tab w:val="right" w:leader="dot" w:pos="9672"/>
            </w:tabs>
            <w:spacing w:before="151"/>
          </w:pPr>
          <w:hyperlink w:anchor="_bookmark1" w:history="1">
            <w:r w:rsidR="007007B2">
              <w:t>Aperçu du programme et des avantages</w:t>
            </w:r>
            <w:r w:rsidR="007007B2">
              <w:tab/>
              <w:t>2</w:t>
            </w:r>
          </w:hyperlink>
        </w:p>
        <w:p w14:paraId="3013B6BA" w14:textId="77777777" w:rsidR="00BF5E34" w:rsidRDefault="0074184E">
          <w:pPr>
            <w:pStyle w:val="TM3"/>
            <w:tabs>
              <w:tab w:val="right" w:leader="dot" w:pos="9672"/>
            </w:tabs>
            <w:spacing w:before="149"/>
          </w:pPr>
          <w:hyperlink w:anchor="_bookmark2" w:history="1">
            <w:r w:rsidR="007007B2">
              <w:t>Objectifs du programme</w:t>
            </w:r>
            <w:r w:rsidR="007007B2">
              <w:tab/>
              <w:t>2</w:t>
            </w:r>
          </w:hyperlink>
        </w:p>
        <w:p w14:paraId="3013B6BB" w14:textId="77777777" w:rsidR="00BF5E34" w:rsidRDefault="0074184E">
          <w:pPr>
            <w:pStyle w:val="TM2"/>
            <w:tabs>
              <w:tab w:val="right" w:leader="dot" w:pos="9672"/>
            </w:tabs>
          </w:pPr>
          <w:hyperlink w:anchor="_bookmark3" w:history="1">
            <w:r w:rsidR="007007B2">
              <w:t>Fonctionnement du financement</w:t>
            </w:r>
            <w:r w:rsidR="007007B2">
              <w:tab/>
              <w:t>3</w:t>
            </w:r>
          </w:hyperlink>
        </w:p>
        <w:p w14:paraId="3013B6BC" w14:textId="6794F4DE" w:rsidR="00BF5E34" w:rsidRDefault="0074184E">
          <w:pPr>
            <w:pStyle w:val="TM2"/>
            <w:tabs>
              <w:tab w:val="right" w:leader="dot" w:pos="9672"/>
            </w:tabs>
          </w:pPr>
          <w:hyperlink w:anchor="_bookmark4" w:history="1">
            <w:r w:rsidR="007007B2">
              <w:t>C</w:t>
            </w:r>
            <w:r w:rsidR="00F1632A">
              <w:t>ritères</w:t>
            </w:r>
            <w:r w:rsidR="007007B2">
              <w:t xml:space="preserve"> d’admissibilité</w:t>
            </w:r>
            <w:r w:rsidR="007007B2">
              <w:tab/>
            </w:r>
            <w:r w:rsidR="00F1632A">
              <w:t>4</w:t>
            </w:r>
          </w:hyperlink>
        </w:p>
        <w:p w14:paraId="3013B6BD" w14:textId="314E4351" w:rsidR="00BF5E34" w:rsidRDefault="0074184E">
          <w:pPr>
            <w:pStyle w:val="TM3"/>
            <w:tabs>
              <w:tab w:val="right" w:leader="dot" w:pos="9672"/>
            </w:tabs>
          </w:pPr>
          <w:hyperlink w:anchor="_bookmark5" w:history="1">
            <w:r w:rsidR="007007B2">
              <w:t>Demandeur</w:t>
            </w:r>
            <w:r w:rsidR="007007B2">
              <w:tab/>
            </w:r>
            <w:r w:rsidR="00F1632A">
              <w:t>4</w:t>
            </w:r>
          </w:hyperlink>
        </w:p>
        <w:p w14:paraId="3013B6BE" w14:textId="21E7DA4B" w:rsidR="00BF5E34" w:rsidRDefault="0074184E">
          <w:pPr>
            <w:pStyle w:val="TM3"/>
            <w:tabs>
              <w:tab w:val="right" w:leader="dot" w:pos="9672"/>
            </w:tabs>
            <w:spacing w:before="149"/>
          </w:pPr>
          <w:hyperlink w:anchor="_bookmark6" w:history="1">
            <w:r w:rsidR="007007B2">
              <w:t>Fournisseur de la technologie</w:t>
            </w:r>
            <w:r w:rsidR="007007B2">
              <w:tab/>
            </w:r>
            <w:r w:rsidR="00F1632A">
              <w:t>4</w:t>
            </w:r>
          </w:hyperlink>
        </w:p>
        <w:p w14:paraId="3013B6BF" w14:textId="19169A27" w:rsidR="00BF5E34" w:rsidRDefault="0074184E">
          <w:pPr>
            <w:pStyle w:val="TM3"/>
            <w:tabs>
              <w:tab w:val="right" w:leader="dot" w:pos="9672"/>
            </w:tabs>
          </w:pPr>
          <w:hyperlink w:anchor="_bookmark7" w:history="1">
            <w:r w:rsidR="007007B2">
              <w:t>Projet</w:t>
            </w:r>
            <w:r w:rsidR="007007B2">
              <w:tab/>
              <w:t>5</w:t>
            </w:r>
          </w:hyperlink>
        </w:p>
        <w:p w14:paraId="3013B6C0" w14:textId="7A930D7F" w:rsidR="00BF5E34" w:rsidRDefault="0074184E">
          <w:pPr>
            <w:pStyle w:val="TM1"/>
            <w:tabs>
              <w:tab w:val="right" w:leader="dot" w:pos="9672"/>
            </w:tabs>
            <w:spacing w:before="152"/>
          </w:pPr>
          <w:hyperlink w:anchor="_bookmark8" w:history="1">
            <w:r w:rsidR="007007B2">
              <w:t>Comment faire une demande</w:t>
            </w:r>
            <w:r w:rsidR="007007B2">
              <w:tab/>
              <w:t>5</w:t>
            </w:r>
          </w:hyperlink>
        </w:p>
        <w:p w14:paraId="3013B6C1" w14:textId="3870D2FA" w:rsidR="00BF5E34" w:rsidRDefault="0074184E">
          <w:pPr>
            <w:pStyle w:val="TM2"/>
            <w:tabs>
              <w:tab w:val="right" w:leader="dot" w:pos="9672"/>
            </w:tabs>
            <w:spacing w:before="151"/>
          </w:pPr>
          <w:hyperlink w:anchor="_bookmark9" w:history="1">
            <w:r w:rsidR="007007B2">
              <w:t>Processus de demande et échéancier</w:t>
            </w:r>
            <w:r w:rsidR="007007B2">
              <w:tab/>
              <w:t>5</w:t>
            </w:r>
          </w:hyperlink>
        </w:p>
        <w:p w14:paraId="3013B6C2" w14:textId="3B8AB27C" w:rsidR="00BF5E34" w:rsidRDefault="0074184E">
          <w:pPr>
            <w:pStyle w:val="TM2"/>
            <w:tabs>
              <w:tab w:val="right" w:leader="dot" w:pos="9672"/>
            </w:tabs>
            <w:spacing w:before="149"/>
          </w:pPr>
          <w:hyperlink w:anchor="_bookmark10" w:history="1">
            <w:r w:rsidR="007007B2">
              <w:t>Documents de référence</w:t>
            </w:r>
            <w:r w:rsidR="007007B2">
              <w:tab/>
              <w:t>6</w:t>
            </w:r>
          </w:hyperlink>
        </w:p>
        <w:p w14:paraId="3013B6C3" w14:textId="11DEDDEB" w:rsidR="00BF5E34" w:rsidRDefault="0074184E">
          <w:pPr>
            <w:pStyle w:val="TM1"/>
            <w:tabs>
              <w:tab w:val="right" w:leader="dot" w:pos="9672"/>
            </w:tabs>
            <w:spacing w:before="152"/>
          </w:pPr>
          <w:hyperlink w:anchor="_bookmark11" w:history="1">
            <w:r w:rsidR="007007B2">
              <w:t>Processus et critères d’évaluation</w:t>
            </w:r>
            <w:r w:rsidR="007007B2">
              <w:tab/>
              <w:t>6</w:t>
            </w:r>
          </w:hyperlink>
        </w:p>
        <w:p w14:paraId="3013B6C4" w14:textId="0CFFD74D" w:rsidR="00BF5E34" w:rsidRDefault="0074184E">
          <w:pPr>
            <w:pStyle w:val="TM2"/>
            <w:tabs>
              <w:tab w:val="right" w:leader="dot" w:pos="9672"/>
            </w:tabs>
          </w:pPr>
          <w:hyperlink w:anchor="_bookmark12" w:history="1">
            <w:r w:rsidR="007007B2">
              <w:t>Critères d’évaluation</w:t>
            </w:r>
            <w:r w:rsidR="007007B2">
              <w:tab/>
              <w:t>6</w:t>
            </w:r>
          </w:hyperlink>
        </w:p>
        <w:p w14:paraId="3013B6C5" w14:textId="0A9DD093" w:rsidR="00BF5E34" w:rsidRDefault="0074184E">
          <w:pPr>
            <w:pStyle w:val="TM1"/>
            <w:tabs>
              <w:tab w:val="right" w:leader="dot" w:pos="9672"/>
            </w:tabs>
          </w:pPr>
          <w:hyperlink w:anchor="_bookmark13" w:history="1">
            <w:r w:rsidR="007007B2">
              <w:t>Lancement du projet, financement et production de rapports</w:t>
            </w:r>
            <w:r w:rsidR="007007B2">
              <w:tab/>
              <w:t>7</w:t>
            </w:r>
          </w:hyperlink>
        </w:p>
        <w:p w14:paraId="3013B6C6" w14:textId="282DDC69" w:rsidR="00BF5E34" w:rsidRDefault="0074184E">
          <w:pPr>
            <w:pStyle w:val="TM2"/>
            <w:tabs>
              <w:tab w:val="right" w:leader="dot" w:pos="9672"/>
            </w:tabs>
          </w:pPr>
          <w:hyperlink w:anchor="_bookmark14" w:history="1">
            <w:r w:rsidR="007007B2">
              <w:t>Lancement du projet</w:t>
            </w:r>
            <w:r w:rsidR="007007B2">
              <w:tab/>
              <w:t>7</w:t>
            </w:r>
          </w:hyperlink>
        </w:p>
        <w:p w14:paraId="3013B6C7" w14:textId="3B68D184" w:rsidR="00BF5E34" w:rsidRDefault="0074184E">
          <w:pPr>
            <w:pStyle w:val="TM2"/>
            <w:tabs>
              <w:tab w:val="right" w:leader="dot" w:pos="9672"/>
            </w:tabs>
          </w:pPr>
          <w:hyperlink w:anchor="_bookmark15" w:history="1">
            <w:r w:rsidR="007007B2">
              <w:t>Versement des fonds</w:t>
            </w:r>
            <w:r w:rsidR="007007B2">
              <w:tab/>
              <w:t>7</w:t>
            </w:r>
          </w:hyperlink>
        </w:p>
        <w:p w14:paraId="3013B6C8" w14:textId="446DEB75" w:rsidR="00BF5E34" w:rsidRDefault="0074184E">
          <w:pPr>
            <w:pStyle w:val="TM2"/>
            <w:tabs>
              <w:tab w:val="right" w:leader="dot" w:pos="9672"/>
            </w:tabs>
            <w:spacing w:before="151"/>
          </w:pPr>
          <w:hyperlink w:anchor="_bookmark16" w:history="1">
            <w:r w:rsidR="007007B2">
              <w:t>Production des rapports du projet</w:t>
            </w:r>
            <w:r w:rsidR="007007B2">
              <w:tab/>
              <w:t>7</w:t>
            </w:r>
          </w:hyperlink>
        </w:p>
        <w:p w14:paraId="3013B6C9" w14:textId="2B401861" w:rsidR="00BF5E34" w:rsidRDefault="0074184E">
          <w:pPr>
            <w:pStyle w:val="TM3"/>
            <w:tabs>
              <w:tab w:val="right" w:leader="dot" w:pos="9672"/>
            </w:tabs>
            <w:spacing w:before="150"/>
          </w:pPr>
          <w:hyperlink w:anchor="_bookmark17" w:history="1">
            <w:r w:rsidR="007007B2">
              <w:t>Rapport final</w:t>
            </w:r>
            <w:r w:rsidR="007007B2">
              <w:tab/>
              <w:t>8</w:t>
            </w:r>
          </w:hyperlink>
        </w:p>
        <w:p w14:paraId="3013B6CA" w14:textId="301969F8" w:rsidR="00BF5E34" w:rsidRDefault="0074184E">
          <w:pPr>
            <w:pStyle w:val="TM3"/>
            <w:tabs>
              <w:tab w:val="right" w:leader="dot" w:pos="9672"/>
            </w:tabs>
            <w:spacing w:before="151"/>
          </w:pPr>
          <w:hyperlink w:anchor="_bookmark18" w:history="1">
            <w:r w:rsidR="007007B2">
              <w:t>Indicateurs du projet</w:t>
            </w:r>
            <w:r w:rsidR="007007B2">
              <w:tab/>
              <w:t>8</w:t>
            </w:r>
          </w:hyperlink>
        </w:p>
        <w:p w14:paraId="3013B6CB" w14:textId="45B39117" w:rsidR="00BF5E34" w:rsidRDefault="0074184E">
          <w:pPr>
            <w:pStyle w:val="TM3"/>
            <w:tabs>
              <w:tab w:val="right" w:leader="dot" w:pos="9672"/>
            </w:tabs>
          </w:pPr>
          <w:hyperlink w:anchor="_bookmark19" w:history="1">
            <w:r w:rsidR="007007B2">
              <w:t>Enquête rétrospective</w:t>
            </w:r>
            <w:r w:rsidR="007007B2">
              <w:tab/>
              <w:t>8</w:t>
            </w:r>
          </w:hyperlink>
        </w:p>
        <w:p w14:paraId="3013B6CC" w14:textId="5900C5ED" w:rsidR="00BF5E34" w:rsidRDefault="0074184E">
          <w:pPr>
            <w:pStyle w:val="TM2"/>
            <w:tabs>
              <w:tab w:val="right" w:leader="dot" w:pos="9672"/>
            </w:tabs>
          </w:pPr>
          <w:hyperlink w:anchor="_bookmark20" w:history="1">
            <w:r w:rsidR="007007B2">
              <w:t>Modifications au projet</w:t>
            </w:r>
            <w:r w:rsidR="007007B2">
              <w:tab/>
              <w:t>8</w:t>
            </w:r>
          </w:hyperlink>
        </w:p>
        <w:p w14:paraId="3013B6CD" w14:textId="196B0A0A" w:rsidR="00BF5E34" w:rsidRDefault="0074184E">
          <w:pPr>
            <w:pStyle w:val="TM1"/>
            <w:tabs>
              <w:tab w:val="right" w:leader="dot" w:pos="9672"/>
            </w:tabs>
          </w:pPr>
          <w:hyperlink w:anchor="_bookmark21" w:history="1">
            <w:r w:rsidR="007007B2">
              <w:t>Personnes-ressources</w:t>
            </w:r>
            <w:r w:rsidR="007007B2">
              <w:tab/>
              <w:t>9</w:t>
            </w:r>
          </w:hyperlink>
        </w:p>
      </w:sdtContent>
    </w:sdt>
    <w:p w14:paraId="3013B6CE" w14:textId="77777777" w:rsidR="00BF5E34" w:rsidRDefault="00BF5E34">
      <w:pPr>
        <w:sectPr w:rsidR="00BF5E34">
          <w:headerReference w:type="default" r:id="rId7"/>
          <w:footerReference w:type="default" r:id="rId8"/>
          <w:type w:val="continuous"/>
          <w:pgSz w:w="12240" w:h="15840"/>
          <w:pgMar w:top="1180" w:right="1220" w:bottom="1180" w:left="1220" w:header="705" w:footer="1000" w:gutter="0"/>
          <w:pgNumType w:start="1"/>
          <w:cols w:space="720"/>
        </w:sectPr>
      </w:pPr>
    </w:p>
    <w:p w14:paraId="3013B6CF" w14:textId="77777777" w:rsidR="00BF5E34" w:rsidRDefault="00BF5E34">
      <w:pPr>
        <w:pStyle w:val="Corpsdetexte"/>
        <w:spacing w:before="4"/>
        <w:rPr>
          <w:sz w:val="28"/>
        </w:rPr>
      </w:pPr>
    </w:p>
    <w:p w14:paraId="3013B6D0" w14:textId="77777777" w:rsidR="00BF5E34" w:rsidRDefault="007007B2">
      <w:pPr>
        <w:pStyle w:val="Titre1"/>
        <w:ind w:left="220"/>
      </w:pPr>
      <w:bookmarkStart w:id="0" w:name="_bookmark0"/>
      <w:bookmarkEnd w:id="0"/>
      <w:r>
        <w:rPr>
          <w:color w:val="2D5294"/>
        </w:rPr>
        <w:t>Information sur le programme et conditions d’admissibilité</w:t>
      </w:r>
    </w:p>
    <w:p w14:paraId="3013B6D1" w14:textId="77777777" w:rsidR="00BF5E34" w:rsidRDefault="007007B2">
      <w:pPr>
        <w:pStyle w:val="Titre2"/>
        <w:spacing w:before="98" w:line="317" w:lineRule="exact"/>
      </w:pPr>
      <w:bookmarkStart w:id="1" w:name="_bookmark1"/>
      <w:bookmarkEnd w:id="1"/>
      <w:r>
        <w:rPr>
          <w:color w:val="2D5294"/>
        </w:rPr>
        <w:t>Aperçu du programme et des avantages</w:t>
      </w:r>
    </w:p>
    <w:p w14:paraId="3013B6D2" w14:textId="77777777" w:rsidR="00BF5E34" w:rsidRDefault="007007B2">
      <w:pPr>
        <w:pStyle w:val="Corpsdetexte"/>
        <w:ind w:left="242" w:right="327"/>
      </w:pPr>
      <w:r>
        <w:t>Le Programme de démonstration de technologies du CCN (Démo CCN) fait partie d’une initiative plus vaste du Centre de compétences en numérisation (CCN). Le volet de démonstration de technologies accompagne les petites et moyennes entreprises (PME) de l’Ontario dans l’adoption et la mise en œuvre de la technologie numérique traitée dans leur plan de modernisation et d’adoption du numérique (PMAN), accélérant ainsi la croissance de ces PME tout en soutenant la commercialisation de technologies numériques conçues en Ontario.</w:t>
      </w:r>
    </w:p>
    <w:p w14:paraId="3013B6D3" w14:textId="77777777" w:rsidR="00BF5E34" w:rsidRDefault="00BF5E34">
      <w:pPr>
        <w:pStyle w:val="Corpsdetexte"/>
        <w:spacing w:before="1"/>
      </w:pPr>
    </w:p>
    <w:p w14:paraId="3013B6D4" w14:textId="77777777" w:rsidR="00BF5E34" w:rsidRDefault="007007B2">
      <w:pPr>
        <w:pStyle w:val="Corpsdetexte"/>
        <w:spacing w:line="252" w:lineRule="auto"/>
        <w:ind w:left="220" w:right="842"/>
        <w:jc w:val="both"/>
      </w:pPr>
      <w:r>
        <w:t>Le programme facilite aussi l’accès à de l’expertise et aux dernières connaissances et informations relatives aux technologies numériques ainsi qu’à de la formation sur l’utilisation des nouveaux équipements et processus dans le but de favoriser la compréhension et l’adoption des technologies numériques qui permettront aux PME de prendre de l’expansion.</w:t>
      </w:r>
    </w:p>
    <w:p w14:paraId="3013B6D5" w14:textId="77777777" w:rsidR="00BF5E34" w:rsidRDefault="00BF5E34">
      <w:pPr>
        <w:pStyle w:val="Corpsdetexte"/>
        <w:spacing w:before="2"/>
        <w:rPr>
          <w:sz w:val="23"/>
        </w:rPr>
      </w:pPr>
    </w:p>
    <w:p w14:paraId="3013B6D6" w14:textId="77777777" w:rsidR="00BF5E34" w:rsidRDefault="007007B2">
      <w:pPr>
        <w:pStyle w:val="Corpsdetexte"/>
        <w:spacing w:line="252" w:lineRule="auto"/>
        <w:ind w:left="220" w:right="327"/>
      </w:pPr>
      <w:r>
        <w:t>Le financement disponible servira à aider un nombre limité de PME de l’Ontario qui travaillent avec des fournisseurs de solutions numériques pour adopter et mettre en œuvre la technologie numérique commercialisée décrite dans leur PMAN qui aura un impact élevé sur leur croissance. Les PME admissibles peuvent obtenir jusqu’à 150 000 $ sous forme de remboursement.</w:t>
      </w:r>
    </w:p>
    <w:p w14:paraId="3013B6D7" w14:textId="77777777" w:rsidR="00BF5E34" w:rsidRDefault="00BF5E34">
      <w:pPr>
        <w:pStyle w:val="Corpsdetexte"/>
        <w:spacing w:before="9"/>
        <w:rPr>
          <w:sz w:val="21"/>
        </w:rPr>
      </w:pPr>
    </w:p>
    <w:p w14:paraId="3013B6D8" w14:textId="77777777" w:rsidR="00BF5E34" w:rsidRDefault="007007B2">
      <w:pPr>
        <w:pStyle w:val="Titre3"/>
        <w:jc w:val="both"/>
      </w:pPr>
      <w:bookmarkStart w:id="2" w:name="_bookmark2"/>
      <w:bookmarkEnd w:id="2"/>
      <w:r>
        <w:rPr>
          <w:color w:val="1F3761"/>
        </w:rPr>
        <w:t>Objectifs du programme</w:t>
      </w:r>
    </w:p>
    <w:p w14:paraId="3013B6D9" w14:textId="77777777" w:rsidR="00BF5E34" w:rsidRDefault="007007B2">
      <w:pPr>
        <w:pStyle w:val="Paragraphedeliste"/>
        <w:numPr>
          <w:ilvl w:val="0"/>
          <w:numId w:val="7"/>
        </w:numPr>
        <w:tabs>
          <w:tab w:val="left" w:pos="940"/>
          <w:tab w:val="left" w:pos="941"/>
        </w:tabs>
        <w:spacing w:before="61"/>
        <w:ind w:right="528"/>
      </w:pPr>
      <w:proofErr w:type="gramStart"/>
      <w:r>
        <w:t>accélérer</w:t>
      </w:r>
      <w:proofErr w:type="gramEnd"/>
      <w:r>
        <w:t xml:space="preserve"> le virage numérique en aidant les PME à adopter les nouveaux équipements et processus commercialisés;</w:t>
      </w:r>
    </w:p>
    <w:p w14:paraId="3013B6DA" w14:textId="77777777" w:rsidR="00BF5E34" w:rsidRDefault="007007B2">
      <w:pPr>
        <w:pStyle w:val="Paragraphedeliste"/>
        <w:numPr>
          <w:ilvl w:val="0"/>
          <w:numId w:val="7"/>
        </w:numPr>
        <w:tabs>
          <w:tab w:val="left" w:pos="940"/>
          <w:tab w:val="left" w:pos="941"/>
        </w:tabs>
        <w:spacing w:before="58"/>
        <w:ind w:right="351"/>
      </w:pPr>
      <w:proofErr w:type="gramStart"/>
      <w:r>
        <w:t>soutenir</w:t>
      </w:r>
      <w:proofErr w:type="gramEnd"/>
      <w:r>
        <w:t xml:space="preserve"> la commercialisation de technologies créées en Ontario, en mettant en relation des sociétés ouvertes aux technologies numériques et des entreprises technologiques ontariennes;</w:t>
      </w:r>
    </w:p>
    <w:p w14:paraId="3013B6DB" w14:textId="77777777" w:rsidR="00BF5E34" w:rsidRDefault="007007B2">
      <w:pPr>
        <w:pStyle w:val="Paragraphedeliste"/>
        <w:numPr>
          <w:ilvl w:val="0"/>
          <w:numId w:val="7"/>
        </w:numPr>
        <w:tabs>
          <w:tab w:val="left" w:pos="940"/>
          <w:tab w:val="left" w:pos="941"/>
        </w:tabs>
        <w:spacing w:before="57"/>
        <w:ind w:right="738"/>
      </w:pPr>
      <w:proofErr w:type="gramStart"/>
      <w:r>
        <w:t>améliorer</w:t>
      </w:r>
      <w:proofErr w:type="gramEnd"/>
      <w:r>
        <w:t xml:space="preserve"> les capacités technologiques des secteurs de la province (p. ex., fabrication, construction, production de ressources, transformation des aliments et boissons, etc.) et des services administratifs des entreprises qui se prêtent à une numérisation plus poussée;</w:t>
      </w:r>
    </w:p>
    <w:p w14:paraId="3013B6DC" w14:textId="77777777" w:rsidR="00BF5E34" w:rsidRDefault="007007B2">
      <w:pPr>
        <w:pStyle w:val="Paragraphedeliste"/>
        <w:numPr>
          <w:ilvl w:val="0"/>
          <w:numId w:val="7"/>
        </w:numPr>
        <w:tabs>
          <w:tab w:val="left" w:pos="940"/>
          <w:tab w:val="left" w:pos="941"/>
        </w:tabs>
        <w:spacing w:before="57"/>
        <w:ind w:hanging="361"/>
      </w:pPr>
      <w:proofErr w:type="gramStart"/>
      <w:r>
        <w:t>accroître</w:t>
      </w:r>
      <w:proofErr w:type="gramEnd"/>
      <w:r>
        <w:t xml:space="preserve"> les retombées économiques pour les PME ontariennes et pour l’Ontario.</w:t>
      </w:r>
    </w:p>
    <w:p w14:paraId="3013B6DD" w14:textId="77777777" w:rsidR="00BF5E34" w:rsidRDefault="00BF5E34">
      <w:pPr>
        <w:pStyle w:val="Corpsdetexte"/>
        <w:spacing w:before="3"/>
      </w:pPr>
    </w:p>
    <w:p w14:paraId="3013B6DE" w14:textId="77777777" w:rsidR="00BF5E34" w:rsidRDefault="007007B2">
      <w:pPr>
        <w:pStyle w:val="Corpsdetexte"/>
        <w:spacing w:line="285" w:lineRule="auto"/>
        <w:ind w:left="220" w:right="498"/>
      </w:pPr>
      <w:r>
        <w:t>Le programme Démo CCN permet également aux PME et aux fournisseurs de technologies de l’Ontario de présenter la valeur de leurs produits, services ou technologie dans le but d’accélérer leur croissance ou d’écourter le chemin d’accès au marché.</w:t>
      </w:r>
    </w:p>
    <w:p w14:paraId="3013B6DF" w14:textId="77777777" w:rsidR="00BF5E34" w:rsidRDefault="00BF5E34">
      <w:pPr>
        <w:pStyle w:val="Corpsdetexte"/>
        <w:spacing w:before="2"/>
        <w:rPr>
          <w:sz w:val="27"/>
        </w:rPr>
      </w:pPr>
    </w:p>
    <w:p w14:paraId="3013B6E0" w14:textId="77777777" w:rsidR="00BF5E34" w:rsidRDefault="007007B2">
      <w:pPr>
        <w:pStyle w:val="Corpsdetexte"/>
        <w:spacing w:before="1" w:line="280" w:lineRule="auto"/>
        <w:ind w:left="220" w:right="498"/>
      </w:pPr>
      <w:r>
        <w:t>Le CIO administre le programme Démo CCN pour le compte du ministère du Développement économique, de la Création d’emplois et du Commerce (MDECEC) de l’Ontario.</w:t>
      </w:r>
    </w:p>
    <w:p w14:paraId="3013B6E1" w14:textId="68B388D1" w:rsidR="009E26D4" w:rsidRDefault="009E26D4">
      <w:pPr>
        <w:rPr>
          <w:sz w:val="20"/>
        </w:rPr>
      </w:pPr>
      <w:r>
        <w:rPr>
          <w:sz w:val="20"/>
        </w:rPr>
        <w:br w:type="page"/>
      </w:r>
    </w:p>
    <w:p w14:paraId="3013B6ED" w14:textId="77777777" w:rsidR="00BF5E34" w:rsidRDefault="00BF5E34">
      <w:pPr>
        <w:sectPr w:rsidR="00BF5E34">
          <w:pgSz w:w="12240" w:h="15840"/>
          <w:pgMar w:top="1180" w:right="1220" w:bottom="1200" w:left="1220" w:header="705" w:footer="1000" w:gutter="0"/>
          <w:cols w:space="720"/>
        </w:sectPr>
      </w:pPr>
    </w:p>
    <w:p w14:paraId="3013B6EE" w14:textId="77777777" w:rsidR="00BF5E34" w:rsidRDefault="00BF5E34">
      <w:pPr>
        <w:pStyle w:val="Corpsdetexte"/>
        <w:rPr>
          <w:sz w:val="20"/>
        </w:rPr>
      </w:pPr>
    </w:p>
    <w:p w14:paraId="3013B6EF" w14:textId="77777777" w:rsidR="00BF5E34" w:rsidRDefault="00BF5E34">
      <w:pPr>
        <w:pStyle w:val="Corpsdetexte"/>
        <w:rPr>
          <w:sz w:val="20"/>
        </w:rPr>
      </w:pPr>
    </w:p>
    <w:p w14:paraId="53D4A654" w14:textId="77777777" w:rsidR="006769C4" w:rsidRDefault="006769C4" w:rsidP="006769C4">
      <w:pPr>
        <w:pStyle w:val="Corpsdetexte"/>
        <w:rPr>
          <w:sz w:val="20"/>
        </w:rPr>
      </w:pPr>
    </w:p>
    <w:p w14:paraId="1FFDD450" w14:textId="77777777" w:rsidR="006769C4" w:rsidRDefault="006769C4" w:rsidP="006769C4">
      <w:pPr>
        <w:pStyle w:val="Corpsdetexte"/>
        <w:spacing w:before="6"/>
        <w:rPr>
          <w:sz w:val="10"/>
        </w:rPr>
      </w:pPr>
    </w:p>
    <w:tbl>
      <w:tblPr>
        <w:tblStyle w:val="TableNormal"/>
        <w:tblW w:w="0" w:type="auto"/>
        <w:tblInd w:w="112" w:type="dxa"/>
        <w:tblLayout w:type="fixed"/>
        <w:tblLook w:val="01E0" w:firstRow="1" w:lastRow="1" w:firstColumn="1" w:lastColumn="1" w:noHBand="0" w:noVBand="0"/>
      </w:tblPr>
      <w:tblGrid>
        <w:gridCol w:w="8913"/>
      </w:tblGrid>
      <w:tr w:rsidR="006769C4" w14:paraId="4D146349" w14:textId="77777777" w:rsidTr="004C42F6">
        <w:trPr>
          <w:trHeight w:val="353"/>
        </w:trPr>
        <w:tc>
          <w:tcPr>
            <w:tcW w:w="8913" w:type="dxa"/>
            <w:shd w:val="clear" w:color="auto" w:fill="000000"/>
          </w:tcPr>
          <w:p w14:paraId="67C6B4D6" w14:textId="77777777" w:rsidR="006769C4" w:rsidRDefault="006769C4" w:rsidP="00595A67">
            <w:pPr>
              <w:pStyle w:val="TableParagraph"/>
              <w:spacing w:before="26"/>
              <w:ind w:left="2723" w:right="3136"/>
              <w:jc w:val="center"/>
              <w:rPr>
                <w:b/>
                <w:sz w:val="24"/>
              </w:rPr>
            </w:pPr>
            <w:r>
              <w:rPr>
                <w:b/>
                <w:color w:val="FFFFFF"/>
                <w:sz w:val="24"/>
              </w:rPr>
              <w:t>Avantages pour le demandeur</w:t>
            </w:r>
          </w:p>
        </w:tc>
      </w:tr>
      <w:tr w:rsidR="006769C4" w14:paraId="4ED75533" w14:textId="77777777" w:rsidTr="004C42F6">
        <w:trPr>
          <w:trHeight w:val="2670"/>
        </w:trPr>
        <w:tc>
          <w:tcPr>
            <w:tcW w:w="8913" w:type="dxa"/>
            <w:tcBorders>
              <w:left w:val="single" w:sz="4" w:space="0" w:color="000000"/>
              <w:bottom w:val="single" w:sz="4" w:space="0" w:color="000000"/>
              <w:right w:val="single" w:sz="4" w:space="0" w:color="000000"/>
            </w:tcBorders>
          </w:tcPr>
          <w:p w14:paraId="2231D6CA" w14:textId="77777777" w:rsidR="006769C4" w:rsidRDefault="006769C4" w:rsidP="004C42F6">
            <w:pPr>
              <w:pStyle w:val="TableParagraph"/>
              <w:numPr>
                <w:ilvl w:val="0"/>
                <w:numId w:val="6"/>
              </w:numPr>
              <w:tabs>
                <w:tab w:val="left" w:pos="827"/>
                <w:tab w:val="left" w:pos="828"/>
              </w:tabs>
              <w:spacing w:before="14"/>
              <w:ind w:hanging="361"/>
              <w:rPr>
                <w:b/>
              </w:rPr>
            </w:pPr>
            <w:r>
              <w:rPr>
                <w:b/>
              </w:rPr>
              <w:t>Accélérer l'adoption des nouvelles technologies numériques commercialisées.</w:t>
            </w:r>
          </w:p>
          <w:p w14:paraId="6D09D31B" w14:textId="77777777" w:rsidR="006769C4" w:rsidRDefault="006769C4" w:rsidP="004C42F6">
            <w:pPr>
              <w:pStyle w:val="TableParagraph"/>
              <w:numPr>
                <w:ilvl w:val="0"/>
                <w:numId w:val="6"/>
              </w:numPr>
              <w:tabs>
                <w:tab w:val="left" w:pos="827"/>
                <w:tab w:val="left" w:pos="828"/>
              </w:tabs>
              <w:spacing w:before="36"/>
              <w:ind w:hanging="361"/>
              <w:rPr>
                <w:b/>
              </w:rPr>
            </w:pPr>
            <w:r>
              <w:rPr>
                <w:b/>
              </w:rPr>
              <w:t>Moderniser ses produits et services et les rendre plus concurrentiels.</w:t>
            </w:r>
          </w:p>
          <w:p w14:paraId="2CF496D7" w14:textId="77777777" w:rsidR="006769C4" w:rsidRDefault="006769C4" w:rsidP="004C42F6">
            <w:pPr>
              <w:pStyle w:val="TableParagraph"/>
              <w:numPr>
                <w:ilvl w:val="0"/>
                <w:numId w:val="6"/>
              </w:numPr>
              <w:tabs>
                <w:tab w:val="left" w:pos="827"/>
                <w:tab w:val="left" w:pos="828"/>
              </w:tabs>
              <w:spacing w:before="37" w:line="256" w:lineRule="auto"/>
              <w:ind w:right="172"/>
              <w:rPr>
                <w:b/>
              </w:rPr>
            </w:pPr>
            <w:r>
              <w:rPr>
                <w:b/>
              </w:rPr>
              <w:t>Lancer plus rapidement ses produits sur le marché et de joindre les bons clients, tout en offrant une expérience utilisateur quasi parfaite.</w:t>
            </w:r>
          </w:p>
          <w:p w14:paraId="3E4B7C77" w14:textId="77777777" w:rsidR="006769C4" w:rsidRDefault="006769C4" w:rsidP="004C42F6">
            <w:pPr>
              <w:pStyle w:val="TableParagraph"/>
              <w:numPr>
                <w:ilvl w:val="0"/>
                <w:numId w:val="6"/>
              </w:numPr>
              <w:tabs>
                <w:tab w:val="left" w:pos="827"/>
                <w:tab w:val="left" w:pos="828"/>
              </w:tabs>
              <w:spacing w:before="11"/>
              <w:ind w:hanging="361"/>
              <w:rPr>
                <w:b/>
              </w:rPr>
            </w:pPr>
            <w:r>
              <w:rPr>
                <w:b/>
              </w:rPr>
              <w:t>Rendre ses activités commerciales plus efficaces grâce à l’automatisation des processus.</w:t>
            </w:r>
          </w:p>
          <w:p w14:paraId="70F2AA35" w14:textId="77777777" w:rsidR="006769C4" w:rsidRDefault="006769C4" w:rsidP="004C42F6">
            <w:pPr>
              <w:pStyle w:val="TableParagraph"/>
              <w:numPr>
                <w:ilvl w:val="0"/>
                <w:numId w:val="6"/>
              </w:numPr>
              <w:tabs>
                <w:tab w:val="left" w:pos="827"/>
                <w:tab w:val="left" w:pos="828"/>
              </w:tabs>
              <w:spacing w:before="20"/>
              <w:ind w:hanging="361"/>
              <w:rPr>
                <w:b/>
              </w:rPr>
            </w:pPr>
            <w:r>
              <w:rPr>
                <w:b/>
              </w:rPr>
              <w:t>Disposer des plus récentes connaissances, compétences et formations.</w:t>
            </w:r>
          </w:p>
          <w:p w14:paraId="2878B050" w14:textId="77777777" w:rsidR="006769C4" w:rsidRDefault="006769C4" w:rsidP="004C42F6">
            <w:pPr>
              <w:pStyle w:val="TableParagraph"/>
              <w:numPr>
                <w:ilvl w:val="0"/>
                <w:numId w:val="6"/>
              </w:numPr>
              <w:tabs>
                <w:tab w:val="left" w:pos="827"/>
                <w:tab w:val="left" w:pos="828"/>
              </w:tabs>
              <w:spacing w:before="22"/>
              <w:ind w:hanging="361"/>
              <w:rPr>
                <w:b/>
              </w:rPr>
            </w:pPr>
            <w:r>
              <w:rPr>
                <w:b/>
              </w:rPr>
              <w:t>Être dirigé vers des partenaires de l’écosystème ou mis en relation avec eux.</w:t>
            </w:r>
          </w:p>
          <w:p w14:paraId="3910A6AF" w14:textId="77777777" w:rsidR="006769C4" w:rsidRDefault="006769C4" w:rsidP="004C42F6">
            <w:pPr>
              <w:pStyle w:val="TableParagraph"/>
              <w:numPr>
                <w:ilvl w:val="0"/>
                <w:numId w:val="6"/>
              </w:numPr>
              <w:tabs>
                <w:tab w:val="left" w:pos="827"/>
                <w:tab w:val="left" w:pos="828"/>
              </w:tabs>
              <w:spacing w:before="15"/>
              <w:ind w:hanging="361"/>
              <w:rPr>
                <w:b/>
              </w:rPr>
            </w:pPr>
            <w:r>
              <w:rPr>
                <w:b/>
              </w:rPr>
              <w:t>Avoir l’occasion de mettre en valeur sa PME et de la faire rayonner davantage sur le marché.</w:t>
            </w:r>
          </w:p>
        </w:tc>
      </w:tr>
    </w:tbl>
    <w:p w14:paraId="3013B6F0" w14:textId="77777777" w:rsidR="00BF5E34" w:rsidRDefault="00BF5E34">
      <w:pPr>
        <w:pStyle w:val="Corpsdetexte"/>
        <w:spacing w:before="10"/>
      </w:pPr>
    </w:p>
    <w:p w14:paraId="3013B6F1" w14:textId="77777777" w:rsidR="00BF5E34" w:rsidRDefault="007007B2">
      <w:pPr>
        <w:pStyle w:val="Titre2"/>
        <w:spacing w:before="47" w:after="46"/>
      </w:pPr>
      <w:bookmarkStart w:id="3" w:name="_bookmark3"/>
      <w:bookmarkEnd w:id="3"/>
      <w:r>
        <w:rPr>
          <w:color w:val="2D5294"/>
        </w:rPr>
        <w:t>Fonctionnement du financement</w:t>
      </w:r>
    </w:p>
    <w:tbl>
      <w:tblPr>
        <w:tblStyle w:val="TableNormal"/>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19"/>
        <w:gridCol w:w="6093"/>
      </w:tblGrid>
      <w:tr w:rsidR="00BF5E34" w14:paraId="3013B6F5" w14:textId="77777777">
        <w:trPr>
          <w:trHeight w:val="812"/>
        </w:trPr>
        <w:tc>
          <w:tcPr>
            <w:tcW w:w="2519" w:type="dxa"/>
            <w:tcBorders>
              <w:bottom w:val="nil"/>
            </w:tcBorders>
            <w:shd w:val="clear" w:color="auto" w:fill="404040"/>
          </w:tcPr>
          <w:p w14:paraId="3013B6F2" w14:textId="77777777" w:rsidR="00BF5E34" w:rsidRDefault="007007B2">
            <w:pPr>
              <w:pStyle w:val="TableParagraph"/>
              <w:spacing w:before="1"/>
              <w:ind w:left="107"/>
            </w:pPr>
            <w:r>
              <w:rPr>
                <w:color w:val="FFFFFF"/>
              </w:rPr>
              <w:t>Contribution du CIO</w:t>
            </w:r>
          </w:p>
        </w:tc>
        <w:tc>
          <w:tcPr>
            <w:tcW w:w="6093" w:type="dxa"/>
          </w:tcPr>
          <w:p w14:paraId="3013B6F3" w14:textId="77777777" w:rsidR="00BF5E34" w:rsidRDefault="007007B2">
            <w:pPr>
              <w:pStyle w:val="TableParagraph"/>
              <w:spacing w:before="13"/>
              <w:ind w:left="111"/>
            </w:pPr>
            <w:r>
              <w:t>50 % (maximum) du total des coûts admissibles du projet, jusqu'à concurrence de</w:t>
            </w:r>
          </w:p>
          <w:p w14:paraId="3013B6F4" w14:textId="77777777" w:rsidR="00BF5E34" w:rsidRDefault="007007B2">
            <w:pPr>
              <w:pStyle w:val="TableParagraph"/>
              <w:spacing w:before="44"/>
              <w:ind w:left="111"/>
            </w:pPr>
            <w:r>
              <w:t>150 000 $.</w:t>
            </w:r>
          </w:p>
        </w:tc>
      </w:tr>
      <w:tr w:rsidR="00BF5E34" w14:paraId="3013B6F8" w14:textId="77777777">
        <w:trPr>
          <w:trHeight w:val="812"/>
        </w:trPr>
        <w:tc>
          <w:tcPr>
            <w:tcW w:w="2519" w:type="dxa"/>
            <w:tcBorders>
              <w:top w:val="nil"/>
              <w:bottom w:val="nil"/>
            </w:tcBorders>
            <w:shd w:val="clear" w:color="auto" w:fill="404040"/>
          </w:tcPr>
          <w:p w14:paraId="3013B6F6" w14:textId="45F9408A" w:rsidR="00BF5E34" w:rsidRDefault="007007B2">
            <w:pPr>
              <w:pStyle w:val="TableParagraph"/>
              <w:spacing w:before="8"/>
              <w:ind w:left="107"/>
            </w:pPr>
            <w:r>
              <w:rPr>
                <w:color w:val="FFFFFF"/>
              </w:rPr>
              <w:t>Contribution du</w:t>
            </w:r>
            <w:r w:rsidR="00B5648F">
              <w:rPr>
                <w:color w:val="FFFFFF"/>
              </w:rPr>
              <w:t> </w:t>
            </w:r>
            <w:r>
              <w:rPr>
                <w:color w:val="FFFFFF"/>
              </w:rPr>
              <w:t>demandeur</w:t>
            </w:r>
          </w:p>
        </w:tc>
        <w:tc>
          <w:tcPr>
            <w:tcW w:w="6093" w:type="dxa"/>
          </w:tcPr>
          <w:p w14:paraId="3013B6F7" w14:textId="77777777" w:rsidR="00BF5E34" w:rsidRDefault="007007B2">
            <w:pPr>
              <w:pStyle w:val="TableParagraph"/>
              <w:spacing w:before="13" w:line="271" w:lineRule="auto"/>
              <w:ind w:left="111" w:right="1003"/>
            </w:pPr>
            <w:r>
              <w:t>50 % (minimum) du total des coûts admissibles du projet (c.-à-d. contrepartie minimale de 1:1 à la contribution du CIO), en espèces.</w:t>
            </w:r>
          </w:p>
        </w:tc>
      </w:tr>
    </w:tbl>
    <w:p w14:paraId="3013B6F9" w14:textId="77777777" w:rsidR="00BF5E34" w:rsidRDefault="00BF5E34">
      <w:pPr>
        <w:pStyle w:val="Corpsdetexte"/>
        <w:rPr>
          <w:rFonts w:ascii="Calibri Light"/>
          <w:sz w:val="20"/>
        </w:rPr>
      </w:pPr>
    </w:p>
    <w:p w14:paraId="3013B6FA" w14:textId="77777777" w:rsidR="00BF5E34" w:rsidRDefault="00BF5E34">
      <w:pPr>
        <w:pStyle w:val="Corpsdetexte"/>
        <w:rPr>
          <w:rFonts w:ascii="Calibri Light"/>
          <w:sz w:val="20"/>
        </w:rPr>
      </w:pPr>
    </w:p>
    <w:p w14:paraId="3013B6FB" w14:textId="77777777" w:rsidR="00BF5E34" w:rsidRDefault="00BF5E34">
      <w:pPr>
        <w:pStyle w:val="Corpsdetexte"/>
        <w:spacing w:before="6" w:after="1"/>
        <w:rPr>
          <w:rFonts w:ascii="Calibri Light"/>
          <w:sz w:val="26"/>
        </w:rPr>
      </w:pPr>
    </w:p>
    <w:tbl>
      <w:tblPr>
        <w:tblStyle w:val="TableNormal"/>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4"/>
        <w:gridCol w:w="6094"/>
      </w:tblGrid>
      <w:tr w:rsidR="00BF5E34" w14:paraId="3013B701" w14:textId="77777777">
        <w:trPr>
          <w:trHeight w:val="1065"/>
        </w:trPr>
        <w:tc>
          <w:tcPr>
            <w:tcW w:w="2524" w:type="dxa"/>
            <w:tcBorders>
              <w:top w:val="nil"/>
              <w:bottom w:val="nil"/>
            </w:tcBorders>
            <w:shd w:val="clear" w:color="auto" w:fill="404040"/>
          </w:tcPr>
          <w:p w14:paraId="3013B6FC" w14:textId="77777777" w:rsidR="00BF5E34" w:rsidRDefault="007007B2">
            <w:pPr>
              <w:pStyle w:val="TableParagraph"/>
              <w:spacing w:before="11"/>
              <w:ind w:left="112"/>
            </w:pPr>
            <w:r>
              <w:rPr>
                <w:color w:val="FFFFFF"/>
              </w:rPr>
              <w:t>Exemple</w:t>
            </w:r>
          </w:p>
        </w:tc>
        <w:tc>
          <w:tcPr>
            <w:tcW w:w="6094" w:type="dxa"/>
          </w:tcPr>
          <w:p w14:paraId="3013B6FD" w14:textId="77777777" w:rsidR="00BF5E34" w:rsidRDefault="007007B2">
            <w:pPr>
              <w:pStyle w:val="TableParagraph"/>
              <w:ind w:left="109"/>
            </w:pPr>
            <w:r>
              <w:t>Coûts totaux admissibles du projet : 300 000 $</w:t>
            </w:r>
          </w:p>
          <w:p w14:paraId="3013B6FE" w14:textId="77777777" w:rsidR="00BF5E34" w:rsidRDefault="00BF5E34">
            <w:pPr>
              <w:pStyle w:val="TableParagraph"/>
              <w:ind w:left="0"/>
              <w:rPr>
                <w:rFonts w:ascii="Calibri Light"/>
              </w:rPr>
            </w:pPr>
          </w:p>
          <w:p w14:paraId="3013B6FF" w14:textId="77777777" w:rsidR="00BF5E34" w:rsidRDefault="007007B2">
            <w:pPr>
              <w:pStyle w:val="TableParagraph"/>
              <w:numPr>
                <w:ilvl w:val="0"/>
                <w:numId w:val="5"/>
              </w:numPr>
              <w:tabs>
                <w:tab w:val="left" w:pos="826"/>
                <w:tab w:val="left" w:pos="827"/>
              </w:tabs>
              <w:spacing w:before="0"/>
            </w:pPr>
            <w:r>
              <w:t>Contribution maximale du CIO : 150 000 $.</w:t>
            </w:r>
          </w:p>
          <w:p w14:paraId="3013B700" w14:textId="77777777" w:rsidR="00BF5E34" w:rsidRDefault="007007B2">
            <w:pPr>
              <w:pStyle w:val="TableParagraph"/>
              <w:numPr>
                <w:ilvl w:val="0"/>
                <w:numId w:val="5"/>
              </w:numPr>
              <w:tabs>
                <w:tab w:val="left" w:pos="828"/>
                <w:tab w:val="left" w:pos="830"/>
              </w:tabs>
              <w:spacing w:before="8" w:line="222" w:lineRule="exact"/>
              <w:ind w:left="829" w:hanging="361"/>
            </w:pPr>
            <w:r>
              <w:t>Contribution minimale du demandeur : 150 000 $ en espèces</w:t>
            </w:r>
          </w:p>
        </w:tc>
      </w:tr>
      <w:tr w:rsidR="00BF5E34" w14:paraId="3013B704" w14:textId="77777777">
        <w:trPr>
          <w:trHeight w:val="515"/>
        </w:trPr>
        <w:tc>
          <w:tcPr>
            <w:tcW w:w="2524" w:type="dxa"/>
            <w:tcBorders>
              <w:top w:val="nil"/>
              <w:bottom w:val="nil"/>
            </w:tcBorders>
            <w:shd w:val="clear" w:color="auto" w:fill="404040"/>
          </w:tcPr>
          <w:p w14:paraId="3013B702" w14:textId="2BBCF845" w:rsidR="00BF5E34" w:rsidRDefault="007007B2">
            <w:pPr>
              <w:pStyle w:val="TableParagraph"/>
              <w:spacing w:before="11"/>
              <w:ind w:left="112"/>
            </w:pPr>
            <w:r>
              <w:rPr>
                <w:color w:val="FFFFFF"/>
              </w:rPr>
              <w:t>Bénéficiaire du</w:t>
            </w:r>
            <w:r w:rsidR="00B5648F">
              <w:rPr>
                <w:color w:val="FFFFFF"/>
              </w:rPr>
              <w:t> </w:t>
            </w:r>
            <w:r>
              <w:rPr>
                <w:color w:val="FFFFFF"/>
              </w:rPr>
              <w:t>financement</w:t>
            </w:r>
          </w:p>
        </w:tc>
        <w:tc>
          <w:tcPr>
            <w:tcW w:w="6094" w:type="dxa"/>
          </w:tcPr>
          <w:p w14:paraId="0E52BB44" w14:textId="77777777" w:rsidR="00BF5E34" w:rsidRDefault="007007B2">
            <w:pPr>
              <w:pStyle w:val="TableParagraph"/>
              <w:ind w:left="109"/>
            </w:pPr>
            <w:r>
              <w:t>La PME qui fait la demande</w:t>
            </w:r>
          </w:p>
          <w:p w14:paraId="31D5AB26" w14:textId="77777777" w:rsidR="00B5648F" w:rsidRDefault="00B5648F">
            <w:pPr>
              <w:pStyle w:val="TableParagraph"/>
              <w:ind w:left="109"/>
            </w:pPr>
          </w:p>
          <w:p w14:paraId="259D7817" w14:textId="77777777" w:rsidR="00B5648F" w:rsidRDefault="00B5648F">
            <w:pPr>
              <w:pStyle w:val="TableParagraph"/>
              <w:ind w:left="109"/>
            </w:pPr>
          </w:p>
          <w:p w14:paraId="3013B703" w14:textId="77777777" w:rsidR="00B5648F" w:rsidRDefault="00B5648F">
            <w:pPr>
              <w:pStyle w:val="TableParagraph"/>
              <w:ind w:left="109"/>
            </w:pPr>
          </w:p>
        </w:tc>
      </w:tr>
    </w:tbl>
    <w:p w14:paraId="3013B705" w14:textId="77777777" w:rsidR="00BF5E34" w:rsidRDefault="00BF5E34">
      <w:pPr>
        <w:pStyle w:val="Corpsdetexte"/>
        <w:rPr>
          <w:rFonts w:ascii="Calibri Light"/>
          <w:sz w:val="26"/>
        </w:rPr>
      </w:pPr>
    </w:p>
    <w:p w14:paraId="720E7AEB" w14:textId="77777777" w:rsidR="000C6BC5" w:rsidRDefault="000C6BC5">
      <w:pPr>
        <w:rPr>
          <w:color w:val="2D5294"/>
        </w:rPr>
        <w:sectPr w:rsidR="000C6BC5">
          <w:pgSz w:w="12240" w:h="15840"/>
          <w:pgMar w:top="1180" w:right="1220" w:bottom="1200" w:left="1220" w:header="705" w:footer="1000" w:gutter="0"/>
          <w:cols w:space="720"/>
        </w:sectPr>
      </w:pPr>
    </w:p>
    <w:p w14:paraId="3013B706" w14:textId="062DCD38" w:rsidR="00BF5E34" w:rsidRDefault="007007B2">
      <w:pPr>
        <w:pStyle w:val="Titre2"/>
        <w:spacing w:before="182"/>
      </w:pPr>
      <w:r>
        <w:rPr>
          <w:color w:val="2D5294"/>
        </w:rPr>
        <w:lastRenderedPageBreak/>
        <w:t>Critères d’admissibilité</w:t>
      </w:r>
    </w:p>
    <w:p w14:paraId="3013B707" w14:textId="77777777" w:rsidR="00BF5E34" w:rsidRDefault="007007B2">
      <w:pPr>
        <w:pStyle w:val="Titre3"/>
        <w:spacing w:before="71"/>
      </w:pPr>
      <w:bookmarkStart w:id="4" w:name="_bookmark5"/>
      <w:bookmarkEnd w:id="4"/>
      <w:r>
        <w:rPr>
          <w:color w:val="1F3761"/>
        </w:rPr>
        <w:t>Demandeur</w:t>
      </w:r>
    </w:p>
    <w:p w14:paraId="3013B708" w14:textId="77777777" w:rsidR="00BF5E34" w:rsidRDefault="007007B2">
      <w:pPr>
        <w:pStyle w:val="Paragraphedeliste"/>
        <w:numPr>
          <w:ilvl w:val="1"/>
          <w:numId w:val="7"/>
        </w:numPr>
        <w:tabs>
          <w:tab w:val="left" w:pos="1271"/>
          <w:tab w:val="left" w:pos="1272"/>
        </w:tabs>
        <w:spacing w:before="2" w:line="279" w:lineRule="exact"/>
        <w:ind w:hanging="361"/>
      </w:pPr>
      <w:r>
        <w:t>Être constitué en société au niveau fédéral ou provincial et disposer d'un numéro d’entreprise valide.</w:t>
      </w:r>
    </w:p>
    <w:p w14:paraId="3013B709" w14:textId="77777777" w:rsidR="00BF5E34" w:rsidRDefault="007007B2">
      <w:pPr>
        <w:pStyle w:val="Paragraphedeliste"/>
        <w:numPr>
          <w:ilvl w:val="1"/>
          <w:numId w:val="7"/>
        </w:numPr>
        <w:tabs>
          <w:tab w:val="left" w:pos="1271"/>
          <w:tab w:val="left" w:pos="1272"/>
        </w:tabs>
        <w:spacing w:line="279" w:lineRule="exact"/>
        <w:ind w:hanging="361"/>
      </w:pPr>
      <w:r>
        <w:t>Être une entreprise privée à but lucratif.</w:t>
      </w:r>
    </w:p>
    <w:p w14:paraId="3013B70A" w14:textId="77777777" w:rsidR="00BF5E34" w:rsidRDefault="007007B2">
      <w:pPr>
        <w:pStyle w:val="Paragraphedeliste"/>
        <w:numPr>
          <w:ilvl w:val="1"/>
          <w:numId w:val="7"/>
        </w:numPr>
        <w:tabs>
          <w:tab w:val="left" w:pos="1271"/>
          <w:tab w:val="left" w:pos="1272"/>
        </w:tabs>
        <w:spacing w:before="1"/>
        <w:ind w:hanging="361"/>
      </w:pPr>
      <w:r>
        <w:t>Avoir entre 1 et 499 employés équivalents temps plein.</w:t>
      </w:r>
    </w:p>
    <w:p w14:paraId="3013B70B" w14:textId="77777777" w:rsidR="00BF5E34" w:rsidRDefault="007007B2">
      <w:pPr>
        <w:pStyle w:val="Paragraphedeliste"/>
        <w:numPr>
          <w:ilvl w:val="1"/>
          <w:numId w:val="7"/>
        </w:numPr>
        <w:tabs>
          <w:tab w:val="left" w:pos="1271"/>
          <w:tab w:val="left" w:pos="1272"/>
        </w:tabs>
        <w:spacing w:before="1"/>
        <w:ind w:right="113"/>
      </w:pPr>
      <w:r>
        <w:t>Avoir une culture et une structure de gestion du changement qui valorisent la croissance et l’innovation ainsi que la volonté d'examiner ou d’adopter de nouvelles technologies pour soutenir l’accroissement d’échelle.</w:t>
      </w:r>
    </w:p>
    <w:p w14:paraId="3013B70C" w14:textId="77777777" w:rsidR="00BF5E34" w:rsidRDefault="007007B2">
      <w:pPr>
        <w:pStyle w:val="Paragraphedeliste"/>
        <w:numPr>
          <w:ilvl w:val="1"/>
          <w:numId w:val="7"/>
        </w:numPr>
        <w:tabs>
          <w:tab w:val="left" w:pos="1271"/>
          <w:tab w:val="left" w:pos="1272"/>
        </w:tabs>
        <w:spacing w:line="279" w:lineRule="exact"/>
        <w:ind w:hanging="361"/>
      </w:pPr>
      <w:r>
        <w:t>Avoir la capacité et la volonté d’investir des ressources.</w:t>
      </w:r>
    </w:p>
    <w:p w14:paraId="3013B70D" w14:textId="77777777" w:rsidR="00BF5E34" w:rsidRDefault="007007B2">
      <w:pPr>
        <w:pStyle w:val="Paragraphedeliste"/>
        <w:numPr>
          <w:ilvl w:val="1"/>
          <w:numId w:val="7"/>
        </w:numPr>
        <w:tabs>
          <w:tab w:val="left" w:pos="1271"/>
          <w:tab w:val="left" w:pos="1272"/>
        </w:tabs>
        <w:spacing w:line="279" w:lineRule="exact"/>
        <w:ind w:hanging="361"/>
      </w:pPr>
      <w:r>
        <w:t>Avoir la capacité de mettre en œuvre de nouvelles technologies et de les soutenir à l’interne.</w:t>
      </w:r>
    </w:p>
    <w:p w14:paraId="3013B70E" w14:textId="566C79E8" w:rsidR="00BF5E34" w:rsidRDefault="007007B2">
      <w:pPr>
        <w:pStyle w:val="Paragraphedeliste"/>
        <w:numPr>
          <w:ilvl w:val="1"/>
          <w:numId w:val="7"/>
        </w:numPr>
        <w:tabs>
          <w:tab w:val="left" w:pos="1271"/>
          <w:tab w:val="left" w:pos="1272"/>
        </w:tabs>
        <w:spacing w:before="1"/>
        <w:ind w:hanging="361"/>
      </w:pPr>
      <w:r>
        <w:t>Avoir un établissement stable en Ontario</w:t>
      </w:r>
      <w:r w:rsidR="00595A67">
        <w:t>.</w:t>
      </w:r>
    </w:p>
    <w:p w14:paraId="3013B70F" w14:textId="77777777" w:rsidR="00BF5E34" w:rsidRDefault="007007B2">
      <w:pPr>
        <w:pStyle w:val="Paragraphedeliste"/>
        <w:numPr>
          <w:ilvl w:val="1"/>
          <w:numId w:val="7"/>
        </w:numPr>
        <w:tabs>
          <w:tab w:val="left" w:pos="1271"/>
          <w:tab w:val="left" w:pos="1272"/>
        </w:tabs>
        <w:spacing w:before="1"/>
        <w:ind w:hanging="361"/>
      </w:pPr>
      <w:r>
        <w:t>Avoir réalisé un projet dans le cadre du programme PMAN.</w:t>
      </w:r>
    </w:p>
    <w:p w14:paraId="4183B1FC" w14:textId="77777777" w:rsidR="00F03A1D" w:rsidRDefault="007007B2" w:rsidP="00B5648F">
      <w:pPr>
        <w:pStyle w:val="Paragraphedeliste"/>
        <w:numPr>
          <w:ilvl w:val="1"/>
          <w:numId w:val="7"/>
        </w:numPr>
        <w:tabs>
          <w:tab w:val="left" w:pos="1271"/>
          <w:tab w:val="left" w:pos="1272"/>
        </w:tabs>
        <w:spacing w:before="1"/>
        <w:ind w:hanging="361"/>
      </w:pPr>
      <w:r>
        <w:t xml:space="preserve">Avoir dégagé des revenus annuels d’au moins 500 000 $ au cours d'une des trois </w:t>
      </w:r>
      <w:r w:rsidR="00B5648F">
        <w:t>a</w:t>
      </w:r>
      <w:r>
        <w:t xml:space="preserve">nnées d'imposition précédentes. </w:t>
      </w:r>
    </w:p>
    <w:p w14:paraId="1A6786FD" w14:textId="77777777" w:rsidR="00F03A1D" w:rsidRDefault="00F03A1D" w:rsidP="00F03A1D">
      <w:pPr>
        <w:pStyle w:val="Paragraphedeliste"/>
        <w:tabs>
          <w:tab w:val="left" w:pos="1271"/>
          <w:tab w:val="left" w:pos="1272"/>
        </w:tabs>
        <w:spacing w:before="1"/>
        <w:ind w:firstLine="0"/>
      </w:pPr>
    </w:p>
    <w:p w14:paraId="3013B710" w14:textId="182AEAF0" w:rsidR="00BF5E34" w:rsidRDefault="007007B2" w:rsidP="00F03A1D">
      <w:pPr>
        <w:tabs>
          <w:tab w:val="left" w:pos="1271"/>
          <w:tab w:val="left" w:pos="1272"/>
        </w:tabs>
        <w:spacing w:before="1"/>
      </w:pPr>
      <w:r>
        <w:t>Les types de petites entreprises suivants ne sont pas admissibles :</w:t>
      </w:r>
    </w:p>
    <w:p w14:paraId="22B82A00" w14:textId="77777777" w:rsidR="00F03A1D" w:rsidRDefault="00F03A1D" w:rsidP="00F03A1D">
      <w:pPr>
        <w:tabs>
          <w:tab w:val="left" w:pos="1271"/>
          <w:tab w:val="left" w:pos="1272"/>
        </w:tabs>
        <w:spacing w:before="1"/>
      </w:pPr>
    </w:p>
    <w:p w14:paraId="3013B711" w14:textId="77777777" w:rsidR="00BF5E34" w:rsidRDefault="007007B2">
      <w:pPr>
        <w:pStyle w:val="Paragraphedeliste"/>
        <w:numPr>
          <w:ilvl w:val="1"/>
          <w:numId w:val="7"/>
        </w:numPr>
        <w:tabs>
          <w:tab w:val="left" w:pos="1271"/>
          <w:tab w:val="left" w:pos="1272"/>
        </w:tabs>
        <w:spacing w:before="25"/>
        <w:ind w:hanging="361"/>
      </w:pPr>
      <w:r>
        <w:t>Les entreprises qui s’engagent dans des activités de commerce électronique ou de vente au détail en contact direct avec les consommateurs.</w:t>
      </w:r>
    </w:p>
    <w:p w14:paraId="3013B712" w14:textId="77777777" w:rsidR="00BF5E34" w:rsidRDefault="007007B2">
      <w:pPr>
        <w:pStyle w:val="Paragraphedeliste"/>
        <w:numPr>
          <w:ilvl w:val="1"/>
          <w:numId w:val="7"/>
        </w:numPr>
        <w:tabs>
          <w:tab w:val="left" w:pos="1271"/>
          <w:tab w:val="left" w:pos="1272"/>
        </w:tabs>
        <w:spacing w:before="1"/>
        <w:ind w:hanging="361"/>
      </w:pPr>
      <w:r>
        <w:t>Les chaînes d’entreprises, les franchises ou les organismes de bienfaisance enregistrés.</w:t>
      </w:r>
    </w:p>
    <w:p w14:paraId="3013B713" w14:textId="77777777" w:rsidR="00BF5E34" w:rsidRDefault="007007B2">
      <w:pPr>
        <w:pStyle w:val="Paragraphedeliste"/>
        <w:numPr>
          <w:ilvl w:val="1"/>
          <w:numId w:val="7"/>
        </w:numPr>
        <w:tabs>
          <w:tab w:val="left" w:pos="1271"/>
          <w:tab w:val="left" w:pos="1272"/>
        </w:tabs>
        <w:spacing w:before="1" w:line="279" w:lineRule="exact"/>
        <w:ind w:hanging="361"/>
      </w:pPr>
      <w:r>
        <w:t>Les représentants de sociétés de commercialisation à paliers multiples.</w:t>
      </w:r>
    </w:p>
    <w:p w14:paraId="3013B714" w14:textId="77777777" w:rsidR="00BF5E34" w:rsidRDefault="007007B2">
      <w:pPr>
        <w:pStyle w:val="Paragraphedeliste"/>
        <w:numPr>
          <w:ilvl w:val="1"/>
          <w:numId w:val="7"/>
        </w:numPr>
        <w:tabs>
          <w:tab w:val="left" w:pos="1271"/>
          <w:tab w:val="left" w:pos="1272"/>
        </w:tabs>
        <w:spacing w:line="279" w:lineRule="exact"/>
        <w:ind w:hanging="361"/>
      </w:pPr>
      <w:r>
        <w:t>Les sociétés de courtage immobilier.</w:t>
      </w:r>
    </w:p>
    <w:p w14:paraId="3013B715" w14:textId="77777777" w:rsidR="00BF5E34" w:rsidRDefault="007007B2">
      <w:pPr>
        <w:pStyle w:val="Paragraphedeliste"/>
        <w:numPr>
          <w:ilvl w:val="1"/>
          <w:numId w:val="7"/>
        </w:numPr>
        <w:tabs>
          <w:tab w:val="left" w:pos="1271"/>
          <w:tab w:val="left" w:pos="1272"/>
        </w:tabs>
        <w:ind w:hanging="361"/>
      </w:pPr>
      <w:r>
        <w:t>Les organismes sans but lucratif.</w:t>
      </w:r>
    </w:p>
    <w:p w14:paraId="3013B716" w14:textId="77777777" w:rsidR="00BF5E34" w:rsidRDefault="00BF5E34">
      <w:pPr>
        <w:pStyle w:val="Corpsdetexte"/>
        <w:spacing w:before="1"/>
      </w:pPr>
    </w:p>
    <w:p w14:paraId="3013B717" w14:textId="77777777" w:rsidR="00BF5E34" w:rsidRDefault="007007B2">
      <w:pPr>
        <w:pStyle w:val="Titre3"/>
      </w:pPr>
      <w:bookmarkStart w:id="5" w:name="_bookmark6"/>
      <w:bookmarkEnd w:id="5"/>
      <w:r>
        <w:rPr>
          <w:color w:val="1F3761"/>
        </w:rPr>
        <w:t>Fournisseur de la technologie</w:t>
      </w:r>
    </w:p>
    <w:p w14:paraId="3013B718" w14:textId="77777777" w:rsidR="00BF5E34" w:rsidRDefault="00BF5E34">
      <w:pPr>
        <w:pStyle w:val="Corpsdetexte"/>
        <w:spacing w:before="6"/>
        <w:rPr>
          <w:rFonts w:ascii="Calibri Light"/>
          <w:sz w:val="24"/>
        </w:rPr>
      </w:pPr>
    </w:p>
    <w:p w14:paraId="0A7C49A5" w14:textId="77777777" w:rsidR="00D917FF" w:rsidRDefault="007007B2" w:rsidP="00D917FF">
      <w:pPr>
        <w:pStyle w:val="Corpsdetexte"/>
        <w:spacing w:before="74"/>
        <w:ind w:left="220"/>
      </w:pPr>
      <w:r>
        <w:rPr>
          <w:b/>
          <w:color w:val="5E6D66"/>
        </w:rPr>
        <w:t xml:space="preserve">Remarque : </w:t>
      </w:r>
      <w:r>
        <w:rPr>
          <w:color w:val="5E6D66"/>
        </w:rPr>
        <w:t>Les PME doivent présenter une demande en collaboration avec une entreprise fournissant des technologies numériques qui est établie de préférence en Ontario. L’emplacement du fournisseur n’est pas un critère obligatoire. Les demandeurs sont cependant invités à déployer des efforts raisonnables sur le plan commercial pour envisager l’adoption</w:t>
      </w:r>
      <w:r w:rsidR="00D917FF">
        <w:rPr>
          <w:color w:val="5E6D66"/>
        </w:rPr>
        <w:t xml:space="preserve"> de technologies conçues localement.</w:t>
      </w:r>
    </w:p>
    <w:p w14:paraId="5D21FF3A" w14:textId="77777777" w:rsidR="00D917FF" w:rsidRDefault="00D917FF" w:rsidP="00D917FF">
      <w:pPr>
        <w:pStyle w:val="Paragraphedeliste"/>
        <w:numPr>
          <w:ilvl w:val="0"/>
          <w:numId w:val="4"/>
        </w:numPr>
        <w:tabs>
          <w:tab w:val="left" w:pos="813"/>
          <w:tab w:val="left" w:pos="814"/>
        </w:tabs>
        <w:spacing w:before="44"/>
        <w:ind w:right="389"/>
      </w:pPr>
      <w:r>
        <w:t>Le fournisseur est une entreprise à but lucratif dont le produit ou service novateur commercialisé et validé est prêt à faire l’objet d’une démonstration.</w:t>
      </w:r>
    </w:p>
    <w:p w14:paraId="7C494E6D" w14:textId="77777777" w:rsidR="00D917FF" w:rsidRDefault="00D917FF" w:rsidP="00D917FF">
      <w:pPr>
        <w:pStyle w:val="Paragraphedeliste"/>
        <w:numPr>
          <w:ilvl w:val="0"/>
          <w:numId w:val="4"/>
        </w:numPr>
        <w:tabs>
          <w:tab w:val="left" w:pos="813"/>
          <w:tab w:val="left" w:pos="814"/>
        </w:tabs>
        <w:ind w:right="239"/>
      </w:pPr>
      <w:r>
        <w:t>Le fournisseur DOIT déjà disposer de toutes les certifications nécessaires et satisfaire à toutes les exigences réglementaires applicables.</w:t>
      </w:r>
    </w:p>
    <w:p w14:paraId="23529D31" w14:textId="77777777" w:rsidR="00D917FF" w:rsidRDefault="00D917FF" w:rsidP="00D917FF">
      <w:pPr>
        <w:pStyle w:val="Paragraphedeliste"/>
        <w:numPr>
          <w:ilvl w:val="0"/>
          <w:numId w:val="4"/>
        </w:numPr>
        <w:tabs>
          <w:tab w:val="left" w:pos="813"/>
          <w:tab w:val="left" w:pos="814"/>
        </w:tabs>
        <w:spacing w:before="1"/>
      </w:pPr>
      <w:r>
        <w:t>La PME (ou demandeur) et le fournisseur doivent avoir une relation commerciale sans lien de dépendance.</w:t>
      </w:r>
    </w:p>
    <w:p w14:paraId="3365225D" w14:textId="77777777" w:rsidR="00D917FF" w:rsidRDefault="00D917FF" w:rsidP="00D917FF">
      <w:pPr>
        <w:pStyle w:val="Paragraphedeliste"/>
        <w:numPr>
          <w:ilvl w:val="0"/>
          <w:numId w:val="4"/>
        </w:numPr>
        <w:tabs>
          <w:tab w:val="left" w:pos="813"/>
          <w:tab w:val="left" w:pos="814"/>
        </w:tabs>
        <w:ind w:right="892"/>
      </w:pPr>
      <w:r>
        <w:t>Les fournisseurs doivent accepter de remplir les rapports exigés du CIO et de collaborer avec le CIO à l’élaboration d’études de cas.</w:t>
      </w:r>
    </w:p>
    <w:p w14:paraId="49E42127" w14:textId="77777777" w:rsidR="00D917FF" w:rsidRDefault="00D917FF" w:rsidP="00D917FF">
      <w:pPr>
        <w:pStyle w:val="Corpsdetexte"/>
      </w:pPr>
    </w:p>
    <w:p w14:paraId="4FD8A710" w14:textId="77777777" w:rsidR="00D917FF" w:rsidRDefault="00D917FF" w:rsidP="00D917FF">
      <w:pPr>
        <w:pStyle w:val="Corpsdetexte"/>
        <w:spacing w:before="5"/>
        <w:rPr>
          <w:sz w:val="26"/>
        </w:rPr>
      </w:pPr>
    </w:p>
    <w:p w14:paraId="3013B719" w14:textId="458DFF1B" w:rsidR="00BF5E34" w:rsidRDefault="00BF5E34">
      <w:pPr>
        <w:pStyle w:val="Corpsdetexte"/>
        <w:spacing w:line="280" w:lineRule="auto"/>
        <w:ind w:left="220" w:right="699"/>
      </w:pPr>
    </w:p>
    <w:p w14:paraId="3013B71A" w14:textId="77777777" w:rsidR="00BF5E34" w:rsidRDefault="00BF5E34">
      <w:pPr>
        <w:spacing w:line="280" w:lineRule="auto"/>
        <w:sectPr w:rsidR="00BF5E34">
          <w:pgSz w:w="12240" w:h="15840"/>
          <w:pgMar w:top="1180" w:right="1220" w:bottom="1200" w:left="1220" w:header="705" w:footer="1000" w:gutter="0"/>
          <w:cols w:space="720"/>
        </w:sectPr>
      </w:pPr>
    </w:p>
    <w:p w14:paraId="3013B722" w14:textId="09367D94" w:rsidR="00BF5E34" w:rsidRDefault="00D917FF">
      <w:pPr>
        <w:pStyle w:val="Titre3"/>
      </w:pPr>
      <w:bookmarkStart w:id="6" w:name="_bookmark7"/>
      <w:bookmarkEnd w:id="6"/>
      <w:r>
        <w:rPr>
          <w:color w:val="1F3761"/>
        </w:rPr>
        <w:lastRenderedPageBreak/>
        <w:t>P</w:t>
      </w:r>
      <w:r w:rsidR="007007B2">
        <w:rPr>
          <w:color w:val="1F3761"/>
        </w:rPr>
        <w:t>rojet</w:t>
      </w:r>
    </w:p>
    <w:p w14:paraId="3013B723" w14:textId="77777777" w:rsidR="00BF5E34" w:rsidRDefault="007007B2">
      <w:pPr>
        <w:pStyle w:val="Paragraphedeliste"/>
        <w:numPr>
          <w:ilvl w:val="1"/>
          <w:numId w:val="4"/>
        </w:numPr>
        <w:tabs>
          <w:tab w:val="left" w:pos="940"/>
          <w:tab w:val="left" w:pos="941"/>
        </w:tabs>
        <w:spacing w:before="1"/>
        <w:ind w:right="173"/>
      </w:pPr>
      <w:r>
        <w:t>Le projet doit soutenir l’adoption et la mise en œuvre par une PME d’une technologie numérique commercialisée en partenariat avec un fournisseur de technologies numériques conformément à son PMAN.</w:t>
      </w:r>
    </w:p>
    <w:p w14:paraId="3013B724" w14:textId="77777777" w:rsidR="00BF5E34" w:rsidRDefault="007007B2">
      <w:pPr>
        <w:pStyle w:val="Paragraphedeliste"/>
        <w:numPr>
          <w:ilvl w:val="1"/>
          <w:numId w:val="4"/>
        </w:numPr>
        <w:tabs>
          <w:tab w:val="left" w:pos="940"/>
          <w:tab w:val="left" w:pos="941"/>
        </w:tabs>
        <w:spacing w:before="73" w:line="276" w:lineRule="auto"/>
        <w:ind w:left="952" w:right="977" w:hanging="425"/>
      </w:pPr>
      <w:r>
        <w:t>Le projet doit impliquer un partenariat entre une PME et un fournisseur de technologies établi de préférence en Ontario.</w:t>
      </w:r>
    </w:p>
    <w:p w14:paraId="3013B725" w14:textId="319E52DB" w:rsidR="00BF5E34" w:rsidRDefault="007007B2">
      <w:pPr>
        <w:pStyle w:val="Paragraphedeliste"/>
        <w:numPr>
          <w:ilvl w:val="1"/>
          <w:numId w:val="4"/>
        </w:numPr>
        <w:tabs>
          <w:tab w:val="left" w:pos="940"/>
          <w:tab w:val="left" w:pos="941"/>
        </w:tabs>
        <w:spacing w:before="12" w:line="288" w:lineRule="auto"/>
        <w:ind w:right="1145"/>
      </w:pPr>
      <w:r>
        <w:rPr>
          <w:sz w:val="21"/>
        </w:rPr>
        <w:t>Le projet doit permettre d'accélérer considérablement la transformation numérique de la PME ayant trait à ses technologies commercialisées et avoir d’importantes retombées sur l’entreprise</w:t>
      </w:r>
      <w:r w:rsidR="00D917FF">
        <w:rPr>
          <w:sz w:val="21"/>
        </w:rPr>
        <w:t xml:space="preserve"> </w:t>
      </w:r>
      <w:r>
        <w:t>(p. ex., emplois créés et conservés, nouveaux revenus, nouveaux clients, investissements de suivi et gains de productivité</w:t>
      </w:r>
      <w:r>
        <w:rPr>
          <w:sz w:val="21"/>
        </w:rPr>
        <w:t>)</w:t>
      </w:r>
      <w:r>
        <w:t>.</w:t>
      </w:r>
    </w:p>
    <w:p w14:paraId="3013B726" w14:textId="77777777" w:rsidR="00BF5E34" w:rsidRDefault="00BF5E34">
      <w:pPr>
        <w:pStyle w:val="Corpsdetexte"/>
        <w:spacing w:before="10"/>
        <w:rPr>
          <w:sz w:val="23"/>
        </w:rPr>
      </w:pPr>
    </w:p>
    <w:p w14:paraId="3013B727" w14:textId="77777777" w:rsidR="00BF5E34" w:rsidRDefault="007007B2">
      <w:pPr>
        <w:pStyle w:val="Titre1"/>
        <w:spacing w:before="0"/>
        <w:ind w:left="561"/>
      </w:pPr>
      <w:bookmarkStart w:id="7" w:name="_bookmark8"/>
      <w:bookmarkEnd w:id="7"/>
      <w:r>
        <w:rPr>
          <w:color w:val="2D5294"/>
        </w:rPr>
        <w:t>Comment faire une demande</w:t>
      </w:r>
    </w:p>
    <w:p w14:paraId="3013B728" w14:textId="77777777" w:rsidR="00BF5E34" w:rsidRDefault="007007B2">
      <w:pPr>
        <w:pStyle w:val="Titre2"/>
        <w:spacing w:before="99"/>
        <w:ind w:left="561"/>
      </w:pPr>
      <w:bookmarkStart w:id="8" w:name="_bookmark9"/>
      <w:bookmarkEnd w:id="8"/>
      <w:r>
        <w:rPr>
          <w:color w:val="2D5294"/>
        </w:rPr>
        <w:t>Processus de demande et échéancier</w:t>
      </w:r>
    </w:p>
    <w:p w14:paraId="3013B729" w14:textId="77777777" w:rsidR="00BF5E34" w:rsidRDefault="007007B2">
      <w:pPr>
        <w:pStyle w:val="Corpsdetexte"/>
        <w:spacing w:before="40"/>
        <w:ind w:left="561"/>
      </w:pPr>
      <w:r>
        <w:t xml:space="preserve">Statut du programme : </w:t>
      </w:r>
      <w:r>
        <w:rPr>
          <w:color w:val="00AE50"/>
        </w:rPr>
        <w:t>Les demandes sont présentement acceptées en tout temps</w:t>
      </w:r>
    </w:p>
    <w:p w14:paraId="3013B72A" w14:textId="77777777" w:rsidR="00BF5E34" w:rsidRDefault="00BF5E34">
      <w:pPr>
        <w:pStyle w:val="Corpsdetexte"/>
        <w:spacing w:before="3"/>
      </w:pPr>
    </w:p>
    <w:p w14:paraId="3013B72B" w14:textId="77777777" w:rsidR="00BF5E34" w:rsidRDefault="0074184E">
      <w:pPr>
        <w:pStyle w:val="Paragraphedeliste"/>
        <w:numPr>
          <w:ilvl w:val="0"/>
          <w:numId w:val="3"/>
        </w:numPr>
        <w:tabs>
          <w:tab w:val="left" w:pos="562"/>
        </w:tabs>
        <w:spacing w:line="254" w:lineRule="auto"/>
        <w:ind w:right="568"/>
        <w:jc w:val="both"/>
      </w:pPr>
      <w:r>
        <w:pict w14:anchorId="3013B799">
          <v:rect id="docshape3" o:spid="_x0000_s2050" style="position:absolute;left:0;text-align:left;margin-left:305.95pt;margin-top:54.4pt;width:2.65pt;height:.7pt;z-index:-251658752;mso-position-horizontal-relative:page" fillcolor="#5e6c66" stroked="f">
            <w10:wrap anchorx="page"/>
          </v:rect>
        </w:pict>
      </w:r>
      <w:r w:rsidR="007007B2">
        <w:t xml:space="preserve">C’est </w:t>
      </w:r>
      <w:hyperlink r:id="rId9">
        <w:r w:rsidR="007007B2">
          <w:t>une ou un gestionnaire en développement commercial (GDC) ou conseillère ou conseiller en adoption du numérique du CIO</w:t>
        </w:r>
      </w:hyperlink>
      <w:r w:rsidR="007007B2">
        <w:t xml:space="preserve"> qui doit lancer la demande dans le système </w:t>
      </w:r>
      <w:proofErr w:type="spellStart"/>
      <w:r w:rsidR="007007B2">
        <w:t>AccessOCI</w:t>
      </w:r>
      <w:proofErr w:type="spellEnd"/>
      <w:r w:rsidR="007007B2">
        <w:t xml:space="preserve">. Cette étape franchie, le demandeur recevra les données de connexion qui lui permettront de préparer la demande. Les entreprises souhaitant prendre contact avec une ou un gestionnaire en développement commercial (GDC) ou conseillère ou conseiller en adoption du numérique du CIO sont invitées à remplir le </w:t>
      </w:r>
      <w:hyperlink r:id="rId10">
        <w:r w:rsidR="007007B2">
          <w:rPr>
            <w:color w:val="FF0000"/>
            <w:u w:val="single" w:color="FF0000"/>
          </w:rPr>
          <w:t>formulaire client général</w:t>
        </w:r>
        <w:r w:rsidR="007007B2">
          <w:rPr>
            <w:color w:val="5E6C66"/>
          </w:rPr>
          <w:t>.</w:t>
        </w:r>
      </w:hyperlink>
    </w:p>
    <w:p w14:paraId="3013B72C" w14:textId="77777777" w:rsidR="00BF5E34" w:rsidRDefault="00BF5E34">
      <w:pPr>
        <w:pStyle w:val="Corpsdetexte"/>
        <w:spacing w:before="5"/>
        <w:rPr>
          <w:sz w:val="23"/>
        </w:rPr>
      </w:pPr>
    </w:p>
    <w:p w14:paraId="3013B72D" w14:textId="77777777" w:rsidR="00BF5E34" w:rsidRDefault="007007B2">
      <w:pPr>
        <w:pStyle w:val="Corpsdetexte"/>
        <w:spacing w:before="57" w:line="256" w:lineRule="auto"/>
        <w:ind w:left="561" w:right="365"/>
        <w:jc w:val="both"/>
      </w:pPr>
      <w:r>
        <w:rPr>
          <w:u w:val="single"/>
        </w:rPr>
        <w:t>Remarque : une fois rempli, le formulaire ne constitue pas une demande de financement.</w:t>
      </w:r>
      <w:r>
        <w:t xml:space="preserve"> </w:t>
      </w:r>
      <w:proofErr w:type="spellStart"/>
      <w:r>
        <w:t>Une·ou</w:t>
      </w:r>
      <w:proofErr w:type="spellEnd"/>
      <w:r>
        <w:t xml:space="preserve"> un GDC ou conseillère ou conseiller en adoption du numérique prendra contact pour discuter de votre projet. Si vous travaillez déjà avec une ou un GDC ou conseillère ou conseiller en adoption du numérique, veuillez l’indiquer sur le formulaire.</w:t>
      </w:r>
    </w:p>
    <w:p w14:paraId="3013B72E" w14:textId="77777777" w:rsidR="00BF5E34" w:rsidRDefault="00BF5E34">
      <w:pPr>
        <w:pStyle w:val="Corpsdetexte"/>
        <w:spacing w:before="11"/>
      </w:pPr>
    </w:p>
    <w:p w14:paraId="3013B72F" w14:textId="6F75EF37" w:rsidR="00BF5E34" w:rsidRDefault="007007B2">
      <w:pPr>
        <w:pStyle w:val="Paragraphedeliste"/>
        <w:numPr>
          <w:ilvl w:val="0"/>
          <w:numId w:val="3"/>
        </w:numPr>
        <w:tabs>
          <w:tab w:val="left" w:pos="561"/>
          <w:tab w:val="left" w:pos="562"/>
        </w:tabs>
        <w:spacing w:line="247" w:lineRule="auto"/>
        <w:ind w:right="409"/>
      </w:pPr>
      <w:r>
        <w:t>Une fois que la ou le GDC ou conseillère ou conseiller en adoption du numérique aura confirmé la pertinence de votre projet, il ou elle vous enverra un lien vers le système de demande en ligne d</w:t>
      </w:r>
      <w:r w:rsidR="00EA5908">
        <w:t>u</w:t>
      </w:r>
      <w:r>
        <w:t xml:space="preserve"> CIO, appelé </w:t>
      </w:r>
      <w:proofErr w:type="spellStart"/>
      <w:r>
        <w:t>AccessOCI</w:t>
      </w:r>
      <w:proofErr w:type="spellEnd"/>
      <w:r>
        <w:t>.</w:t>
      </w:r>
    </w:p>
    <w:p w14:paraId="3013B730" w14:textId="77777777" w:rsidR="00BF5E34" w:rsidRDefault="00BF5E34">
      <w:pPr>
        <w:pStyle w:val="Corpsdetexte"/>
        <w:spacing w:before="7"/>
        <w:rPr>
          <w:sz w:val="23"/>
        </w:rPr>
      </w:pPr>
    </w:p>
    <w:p w14:paraId="3013B731" w14:textId="77777777" w:rsidR="00BF5E34" w:rsidRDefault="007007B2">
      <w:pPr>
        <w:pStyle w:val="Paragraphedeliste"/>
        <w:numPr>
          <w:ilvl w:val="0"/>
          <w:numId w:val="3"/>
        </w:numPr>
        <w:tabs>
          <w:tab w:val="left" w:pos="559"/>
        </w:tabs>
        <w:ind w:left="558" w:hanging="358"/>
      </w:pPr>
      <w:r>
        <w:t>Remplissez le formulaire de demande électronique et téléversez les documents justificatifs exigés.</w:t>
      </w:r>
    </w:p>
    <w:p w14:paraId="3013B732" w14:textId="77777777" w:rsidR="00BF5E34" w:rsidRDefault="007007B2">
      <w:pPr>
        <w:pStyle w:val="Paragraphedeliste"/>
        <w:numPr>
          <w:ilvl w:val="1"/>
          <w:numId w:val="3"/>
        </w:numPr>
        <w:tabs>
          <w:tab w:val="left" w:pos="2001"/>
          <w:tab w:val="left" w:pos="2002"/>
        </w:tabs>
        <w:spacing w:before="60"/>
        <w:ind w:hanging="359"/>
      </w:pPr>
      <w:r>
        <w:t>Documents justificatifs exigés :</w:t>
      </w:r>
    </w:p>
    <w:p w14:paraId="3013B733" w14:textId="77777777" w:rsidR="00BF5E34" w:rsidRDefault="007007B2">
      <w:pPr>
        <w:pStyle w:val="Paragraphedeliste"/>
        <w:numPr>
          <w:ilvl w:val="2"/>
          <w:numId w:val="3"/>
        </w:numPr>
        <w:tabs>
          <w:tab w:val="left" w:pos="2721"/>
          <w:tab w:val="left" w:pos="2722"/>
        </w:tabs>
        <w:spacing w:before="59"/>
      </w:pPr>
      <w:r>
        <w:t>Curriculum vitæ des principaux membres de l’équipe</w:t>
      </w:r>
    </w:p>
    <w:p w14:paraId="3013B734" w14:textId="77777777" w:rsidR="00BF5E34" w:rsidRDefault="007007B2">
      <w:pPr>
        <w:pStyle w:val="Paragraphedeliste"/>
        <w:numPr>
          <w:ilvl w:val="2"/>
          <w:numId w:val="3"/>
        </w:numPr>
        <w:tabs>
          <w:tab w:val="left" w:pos="2721"/>
          <w:tab w:val="left" w:pos="2722"/>
        </w:tabs>
        <w:spacing w:before="61"/>
      </w:pPr>
      <w:r>
        <w:t>Lettre d’appui du fournisseur de technologies numériques</w:t>
      </w:r>
    </w:p>
    <w:p w14:paraId="3013B735" w14:textId="77777777" w:rsidR="00BF5E34" w:rsidRDefault="007007B2">
      <w:pPr>
        <w:pStyle w:val="Paragraphedeliste"/>
        <w:numPr>
          <w:ilvl w:val="2"/>
          <w:numId w:val="3"/>
        </w:numPr>
        <w:tabs>
          <w:tab w:val="left" w:pos="2721"/>
          <w:tab w:val="left" w:pos="2722"/>
        </w:tabs>
        <w:spacing w:before="67"/>
      </w:pPr>
      <w:r>
        <w:t>Profil du fournisseur</w:t>
      </w:r>
    </w:p>
    <w:p w14:paraId="3013B736" w14:textId="77777777" w:rsidR="00BF5E34" w:rsidRDefault="007007B2">
      <w:pPr>
        <w:pStyle w:val="Paragraphedeliste"/>
        <w:numPr>
          <w:ilvl w:val="2"/>
          <w:numId w:val="3"/>
        </w:numPr>
        <w:tabs>
          <w:tab w:val="left" w:pos="2721"/>
          <w:tab w:val="left" w:pos="2722"/>
        </w:tabs>
        <w:spacing w:before="68"/>
      </w:pPr>
      <w:r>
        <w:t>Tout autre document justificatif jugé pertinent</w:t>
      </w:r>
    </w:p>
    <w:p w14:paraId="3013B737" w14:textId="77777777" w:rsidR="00BF5E34" w:rsidRDefault="00BF5E34">
      <w:pPr>
        <w:pStyle w:val="Corpsdetexte"/>
        <w:spacing w:before="1"/>
        <w:rPr>
          <w:sz w:val="29"/>
        </w:rPr>
      </w:pPr>
    </w:p>
    <w:p w14:paraId="226873D1" w14:textId="77777777" w:rsidR="00784C77" w:rsidRDefault="00784C77" w:rsidP="00784C77">
      <w:pPr>
        <w:pStyle w:val="Corpsdetexte"/>
        <w:numPr>
          <w:ilvl w:val="0"/>
          <w:numId w:val="3"/>
        </w:numPr>
        <w:spacing w:before="74"/>
      </w:pPr>
      <w:r>
        <w:t>Demandez à votre GDC ou conseillère ou conseiller en adoption du numérique d’approuver la demande. Une fois cette approbation obtenue, vous ou votre GDC ou conseillère ou conseiller en adoption du numérique pourrez soumettre la demande.</w:t>
      </w:r>
    </w:p>
    <w:p w14:paraId="3013B738" w14:textId="53532BED" w:rsidR="00BF5E34" w:rsidRDefault="00BF5E34" w:rsidP="00AF63F2">
      <w:pPr>
        <w:pStyle w:val="Paragraphedeliste"/>
        <w:tabs>
          <w:tab w:val="left" w:pos="559"/>
        </w:tabs>
        <w:ind w:left="558" w:firstLine="0"/>
      </w:pPr>
    </w:p>
    <w:p w14:paraId="3013B739" w14:textId="77777777" w:rsidR="00BF5E34" w:rsidRDefault="00BF5E34">
      <w:pPr>
        <w:sectPr w:rsidR="00BF5E34">
          <w:pgSz w:w="12240" w:h="15840"/>
          <w:pgMar w:top="1180" w:right="1220" w:bottom="1180" w:left="1220" w:header="705" w:footer="1000" w:gutter="0"/>
          <w:cols w:space="720"/>
        </w:sectPr>
      </w:pPr>
    </w:p>
    <w:p w14:paraId="3013B73B" w14:textId="77777777" w:rsidR="00BF5E34" w:rsidRDefault="007007B2">
      <w:pPr>
        <w:pStyle w:val="Paragraphedeliste"/>
        <w:numPr>
          <w:ilvl w:val="0"/>
          <w:numId w:val="3"/>
        </w:numPr>
        <w:tabs>
          <w:tab w:val="left" w:pos="559"/>
        </w:tabs>
        <w:spacing w:before="121"/>
        <w:ind w:left="558" w:right="345" w:hanging="358"/>
      </w:pPr>
      <w:r>
        <w:lastRenderedPageBreak/>
        <w:t>Le CIO examinera la demande à l’interne dans un délai d’une semaine environ, afin de vérifier qu’elle est admissible, complète et conforme sur le plan financier. Le demandeur sera avisé de toute lacune et devra y remédier.</w:t>
      </w:r>
    </w:p>
    <w:p w14:paraId="3013B73D" w14:textId="7A569FEE" w:rsidR="00BF5E34" w:rsidRDefault="007007B2" w:rsidP="00595A67">
      <w:pPr>
        <w:pStyle w:val="Paragraphedeliste"/>
        <w:numPr>
          <w:ilvl w:val="0"/>
          <w:numId w:val="3"/>
        </w:numPr>
        <w:tabs>
          <w:tab w:val="left" w:pos="559"/>
        </w:tabs>
        <w:spacing w:before="120"/>
        <w:ind w:left="558" w:hanging="358"/>
      </w:pPr>
      <w:r>
        <w:t>Lorsque l’équipe interne d</w:t>
      </w:r>
      <w:r w:rsidR="00EA5908">
        <w:t>u</w:t>
      </w:r>
      <w:r>
        <w:t xml:space="preserve"> CIO aura confirmé l’admissibilité et le caractère complet de la demande,</w:t>
      </w:r>
      <w:r w:rsidR="00595A67">
        <w:t xml:space="preserve"> </w:t>
      </w:r>
      <w:r>
        <w:t>elle la transmettra aux fins d’évaluation à un comité externe formé d’experts en la matière.</w:t>
      </w:r>
    </w:p>
    <w:p w14:paraId="3013B73E" w14:textId="77777777" w:rsidR="00BF5E34" w:rsidRDefault="007007B2" w:rsidP="00595A67">
      <w:pPr>
        <w:pStyle w:val="Paragraphedeliste"/>
        <w:numPr>
          <w:ilvl w:val="0"/>
          <w:numId w:val="3"/>
        </w:numPr>
        <w:tabs>
          <w:tab w:val="left" w:pos="559"/>
        </w:tabs>
        <w:spacing w:before="120"/>
        <w:ind w:left="558" w:hanging="358"/>
      </w:pPr>
      <w:r>
        <w:t>Le CIO avisera le demandeur par courriel de la décision de financement.</w:t>
      </w:r>
    </w:p>
    <w:p w14:paraId="3013B742" w14:textId="1D34F692" w:rsidR="00BF5E34" w:rsidRDefault="007007B2" w:rsidP="00595A67">
      <w:pPr>
        <w:pStyle w:val="Paragraphedeliste"/>
        <w:numPr>
          <w:ilvl w:val="0"/>
          <w:numId w:val="3"/>
        </w:numPr>
        <w:spacing w:before="120"/>
        <w:ind w:left="558" w:hanging="358"/>
      </w:pPr>
      <w:r>
        <w:t>Le CIO enverra au demandeur dont le financement a été approuvé un exemplaire de l’entente</w:t>
      </w:r>
      <w:r w:rsidR="00595A67">
        <w:t xml:space="preserve"> </w:t>
      </w:r>
      <w:r>
        <w:t>générale de financement, comportant la demande soumise et l’annexe D, aux fins</w:t>
      </w:r>
      <w:r w:rsidR="00595A67">
        <w:t xml:space="preserve"> </w:t>
      </w:r>
      <w:r>
        <w:t>de signature. Le demandeur doit signer ce document à l’aide de la fonction de signature</w:t>
      </w:r>
      <w:r w:rsidR="00595A67">
        <w:t xml:space="preserve"> </w:t>
      </w:r>
      <w:r>
        <w:t>électronique du CIO et le lui retourner.</w:t>
      </w:r>
    </w:p>
    <w:p w14:paraId="3013B743" w14:textId="77777777" w:rsidR="00BF5E34" w:rsidRDefault="00BF5E34">
      <w:pPr>
        <w:pStyle w:val="Corpsdetexte"/>
        <w:spacing w:before="10"/>
      </w:pPr>
    </w:p>
    <w:p w14:paraId="3013B744" w14:textId="77777777" w:rsidR="00BF5E34" w:rsidRDefault="007007B2" w:rsidP="00595A67">
      <w:pPr>
        <w:pStyle w:val="Titre4"/>
        <w:ind w:left="1701" w:right="2158"/>
        <w:jc w:val="center"/>
      </w:pPr>
      <w:r>
        <w:t>Remarque : l’entente de financement du CIO est non négociable.</w:t>
      </w:r>
    </w:p>
    <w:p w14:paraId="3013B745" w14:textId="77777777" w:rsidR="00BF5E34" w:rsidRDefault="00BF5E34">
      <w:pPr>
        <w:pStyle w:val="Corpsdetexte"/>
        <w:rPr>
          <w:b/>
        </w:rPr>
      </w:pPr>
    </w:p>
    <w:p w14:paraId="3013B746" w14:textId="77777777" w:rsidR="00BF5E34" w:rsidRDefault="00BF5E34">
      <w:pPr>
        <w:pStyle w:val="Corpsdetexte"/>
        <w:spacing w:before="3"/>
        <w:rPr>
          <w:b/>
          <w:sz w:val="26"/>
        </w:rPr>
      </w:pPr>
    </w:p>
    <w:p w14:paraId="3013B747" w14:textId="77777777" w:rsidR="00BF5E34" w:rsidRDefault="007007B2">
      <w:pPr>
        <w:pStyle w:val="Titre2"/>
        <w:spacing w:before="1"/>
        <w:ind w:left="225"/>
      </w:pPr>
      <w:bookmarkStart w:id="9" w:name="_bookmark10"/>
      <w:bookmarkEnd w:id="9"/>
      <w:r>
        <w:rPr>
          <w:color w:val="2D5294"/>
        </w:rPr>
        <w:t>Documents de référence</w:t>
      </w:r>
    </w:p>
    <w:p w14:paraId="3013B748" w14:textId="77777777" w:rsidR="00BF5E34" w:rsidRDefault="0074184E">
      <w:pPr>
        <w:pStyle w:val="Paragraphedeliste"/>
        <w:numPr>
          <w:ilvl w:val="0"/>
          <w:numId w:val="2"/>
        </w:numPr>
        <w:tabs>
          <w:tab w:val="left" w:pos="918"/>
          <w:tab w:val="left" w:pos="919"/>
        </w:tabs>
        <w:spacing w:before="67"/>
        <w:rPr>
          <w:rFonts w:ascii="Symbol" w:hAnsi="Symbol"/>
          <w:sz w:val="21"/>
        </w:rPr>
      </w:pPr>
      <w:hyperlink r:id="rId11">
        <w:r w:rsidR="007007B2">
          <w:rPr>
            <w:color w:val="0000FF"/>
            <w:u w:val="single" w:color="0000FF"/>
          </w:rPr>
          <w:t>Guide des dépenses admissibles</w:t>
        </w:r>
      </w:hyperlink>
    </w:p>
    <w:p w14:paraId="3013B749" w14:textId="77777777" w:rsidR="00BF5E34" w:rsidRDefault="0074184E">
      <w:pPr>
        <w:pStyle w:val="Paragraphedeliste"/>
        <w:numPr>
          <w:ilvl w:val="0"/>
          <w:numId w:val="2"/>
        </w:numPr>
        <w:tabs>
          <w:tab w:val="left" w:pos="918"/>
          <w:tab w:val="left" w:pos="919"/>
        </w:tabs>
        <w:spacing w:before="56"/>
        <w:rPr>
          <w:rFonts w:ascii="Symbol" w:hAnsi="Symbol"/>
          <w:sz w:val="21"/>
        </w:rPr>
      </w:pPr>
      <w:hyperlink r:id="rId12">
        <w:r w:rsidR="007007B2">
          <w:rPr>
            <w:color w:val="0000FF"/>
            <w:u w:val="single" w:color="0000FF"/>
          </w:rPr>
          <w:t>Entente de financement du CIO</w:t>
        </w:r>
      </w:hyperlink>
    </w:p>
    <w:p w14:paraId="3013B74A" w14:textId="77777777" w:rsidR="00BF5E34" w:rsidRDefault="0074184E">
      <w:pPr>
        <w:pStyle w:val="Paragraphedeliste"/>
        <w:numPr>
          <w:ilvl w:val="0"/>
          <w:numId w:val="2"/>
        </w:numPr>
        <w:tabs>
          <w:tab w:val="left" w:pos="918"/>
          <w:tab w:val="left" w:pos="919"/>
        </w:tabs>
        <w:spacing w:before="44"/>
        <w:rPr>
          <w:rFonts w:ascii="Symbol" w:hAnsi="Symbol"/>
          <w:sz w:val="21"/>
        </w:rPr>
      </w:pPr>
      <w:hyperlink r:id="rId13">
        <w:r w:rsidR="007007B2">
          <w:rPr>
            <w:color w:val="0000FF"/>
            <w:u w:val="single" w:color="0000FF"/>
          </w:rPr>
          <w:t>Instructions concernant la présentation des rapports</w:t>
        </w:r>
      </w:hyperlink>
    </w:p>
    <w:p w14:paraId="3013B74B" w14:textId="5DA1F562" w:rsidR="00BF5E34" w:rsidRDefault="0074184E">
      <w:pPr>
        <w:pStyle w:val="Paragraphedeliste"/>
        <w:numPr>
          <w:ilvl w:val="0"/>
          <w:numId w:val="2"/>
        </w:numPr>
        <w:tabs>
          <w:tab w:val="left" w:pos="918"/>
          <w:tab w:val="left" w:pos="919"/>
        </w:tabs>
        <w:spacing w:before="56" w:line="283" w:lineRule="auto"/>
        <w:ind w:right="628"/>
        <w:rPr>
          <w:rFonts w:ascii="Symbol" w:hAnsi="Symbol"/>
          <w:sz w:val="21"/>
        </w:rPr>
      </w:pPr>
      <w:hyperlink r:id="rId14">
        <w:r w:rsidR="007007B2">
          <w:rPr>
            <w:color w:val="0000FF"/>
            <w:u w:val="single" w:color="0000FF"/>
          </w:rPr>
          <w:t>Questions relatives à la proposition</w:t>
        </w:r>
      </w:hyperlink>
      <w:r w:rsidR="007007B2">
        <w:rPr>
          <w:color w:val="0000FF"/>
        </w:rPr>
        <w:t xml:space="preserve"> </w:t>
      </w:r>
      <w:r w:rsidR="007007B2">
        <w:t>(Remarque : ce modèle de document est fourni à titre indicatif seulement. Seules les demandes transmises au moyen du système en ligne du CIO, où toutes les exigences sont indiquées, seront acceptées.)</w:t>
      </w:r>
    </w:p>
    <w:p w14:paraId="3013B74C" w14:textId="77777777" w:rsidR="00BF5E34" w:rsidRDefault="0074184E">
      <w:pPr>
        <w:pStyle w:val="Paragraphedeliste"/>
        <w:numPr>
          <w:ilvl w:val="0"/>
          <w:numId w:val="2"/>
        </w:numPr>
        <w:tabs>
          <w:tab w:val="left" w:pos="918"/>
          <w:tab w:val="left" w:pos="919"/>
        </w:tabs>
        <w:spacing w:before="10"/>
        <w:rPr>
          <w:rFonts w:ascii="Symbol" w:hAnsi="Symbol"/>
          <w:sz w:val="21"/>
        </w:rPr>
      </w:pPr>
      <w:hyperlink r:id="rId15">
        <w:r w:rsidR="007007B2">
          <w:rPr>
            <w:color w:val="0000FF"/>
            <w:u w:val="single" w:color="0000FF"/>
          </w:rPr>
          <w:t>Modèle de lettre d’appui du fournisseur</w:t>
        </w:r>
      </w:hyperlink>
    </w:p>
    <w:p w14:paraId="3013B74D" w14:textId="77777777" w:rsidR="00BF5E34" w:rsidRDefault="00BF5E34">
      <w:pPr>
        <w:pStyle w:val="Corpsdetexte"/>
        <w:spacing w:before="10"/>
        <w:rPr>
          <w:sz w:val="24"/>
        </w:rPr>
      </w:pPr>
    </w:p>
    <w:p w14:paraId="3013B74E" w14:textId="77777777" w:rsidR="00BF5E34" w:rsidRDefault="007007B2">
      <w:pPr>
        <w:pStyle w:val="Titre1"/>
        <w:spacing w:before="35"/>
      </w:pPr>
      <w:bookmarkStart w:id="10" w:name="_bookmark11"/>
      <w:bookmarkEnd w:id="10"/>
      <w:r>
        <w:rPr>
          <w:color w:val="2D5294"/>
        </w:rPr>
        <w:t>Processus d’évaluation et critères d’évaluation</w:t>
      </w:r>
    </w:p>
    <w:p w14:paraId="3013B74F" w14:textId="77777777" w:rsidR="00BF5E34" w:rsidRDefault="007007B2">
      <w:pPr>
        <w:pStyle w:val="Corpsdetexte"/>
        <w:spacing w:before="74" w:line="283" w:lineRule="auto"/>
        <w:ind w:left="201" w:right="492" w:hanging="3"/>
      </w:pPr>
      <w:r>
        <w:t>Le Programme de démonstration de technologies du CCN est un programme discrétionnaire, assorti de restrictions et doté d’un financement limité. Toutes les demandes admissibles subissent un processus d’évaluation à la lumière des objectifs du programme et des critères d’évaluation connexes. Les demandes de financement admissibles ne seront pas toutes approuvées.</w:t>
      </w:r>
    </w:p>
    <w:p w14:paraId="3013B750" w14:textId="77777777" w:rsidR="00BF5E34" w:rsidRDefault="00BF5E34">
      <w:pPr>
        <w:pStyle w:val="Corpsdetexte"/>
        <w:spacing w:before="7"/>
      </w:pPr>
    </w:p>
    <w:p w14:paraId="3013B751" w14:textId="77777777" w:rsidR="00BF5E34" w:rsidRDefault="007007B2">
      <w:pPr>
        <w:pStyle w:val="Corpsdetexte"/>
        <w:spacing w:line="283" w:lineRule="auto"/>
        <w:ind w:left="201" w:right="589"/>
      </w:pPr>
      <w:r>
        <w:t>Les demandes font l’objet d’un examen interne préalable visant à vérifier qu’elles sont admissibles, complètes et conformes sur le plan financier. Elles sont ensuite évaluées par des examinateurs externes compétents du milieu de l’enseignement et de l’industrie. Les examinateurs sont liés par des ententes de confidentialité. La décision de financement ultime revient au CIO.</w:t>
      </w:r>
    </w:p>
    <w:p w14:paraId="3013B752" w14:textId="77777777" w:rsidR="00BF5E34" w:rsidRDefault="00BF5E34">
      <w:pPr>
        <w:pStyle w:val="Corpsdetexte"/>
        <w:spacing w:before="9"/>
        <w:rPr>
          <w:sz w:val="16"/>
        </w:rPr>
      </w:pPr>
    </w:p>
    <w:p w14:paraId="3013B753" w14:textId="77777777" w:rsidR="00BF5E34" w:rsidRDefault="007007B2">
      <w:pPr>
        <w:pStyle w:val="Titre2"/>
        <w:ind w:left="201"/>
      </w:pPr>
      <w:bookmarkStart w:id="11" w:name="_bookmark12"/>
      <w:bookmarkEnd w:id="11"/>
      <w:r>
        <w:rPr>
          <w:color w:val="2D5294"/>
        </w:rPr>
        <w:t>Critères d’évaluation</w:t>
      </w:r>
    </w:p>
    <w:p w14:paraId="3013B754" w14:textId="77777777" w:rsidR="00BF5E34" w:rsidRDefault="007007B2">
      <w:pPr>
        <w:pStyle w:val="Corpsdetexte"/>
        <w:spacing w:before="52"/>
        <w:ind w:left="201"/>
      </w:pPr>
      <w:r>
        <w:t>L’examen des demandes s’effectue notamment en fonction des critères d’évaluation suivants :</w:t>
      </w:r>
    </w:p>
    <w:p w14:paraId="3013B755" w14:textId="77777777" w:rsidR="00BF5E34" w:rsidRDefault="00BF5E34">
      <w:pPr>
        <w:pStyle w:val="Corpsdetexte"/>
      </w:pPr>
    </w:p>
    <w:p w14:paraId="3013B757" w14:textId="77777777" w:rsidR="00BF5E34" w:rsidRDefault="007007B2">
      <w:pPr>
        <w:pStyle w:val="Paragraphedeliste"/>
        <w:numPr>
          <w:ilvl w:val="0"/>
          <w:numId w:val="2"/>
        </w:numPr>
        <w:tabs>
          <w:tab w:val="left" w:pos="909"/>
          <w:tab w:val="left" w:pos="910"/>
        </w:tabs>
        <w:spacing w:line="237" w:lineRule="auto"/>
        <w:ind w:left="909" w:right="113" w:hanging="348"/>
        <w:rPr>
          <w:rFonts w:ascii="Symbol" w:hAnsi="Symbol"/>
          <w:sz w:val="20"/>
        </w:rPr>
      </w:pPr>
      <w:r>
        <w:t>Évaluation de la maturité numérique, pour déterminer où le client du CCN en est sur le plan des progrès numériques et ses capacités en la matière.</w:t>
      </w:r>
    </w:p>
    <w:p w14:paraId="3013B758" w14:textId="77777777" w:rsidR="00BF5E34" w:rsidRDefault="007007B2">
      <w:pPr>
        <w:pStyle w:val="Paragraphedeliste"/>
        <w:numPr>
          <w:ilvl w:val="0"/>
          <w:numId w:val="2"/>
        </w:numPr>
        <w:tabs>
          <w:tab w:val="left" w:pos="909"/>
          <w:tab w:val="left" w:pos="910"/>
        </w:tabs>
        <w:spacing w:before="2"/>
        <w:ind w:left="909" w:hanging="349"/>
        <w:rPr>
          <w:rFonts w:ascii="Symbol" w:hAnsi="Symbol"/>
          <w:sz w:val="20"/>
        </w:rPr>
      </w:pPr>
      <w:r>
        <w:t>Clarté du besoin de modernisation numérique et d’adoption d’une nouvelle technologie.</w:t>
      </w:r>
    </w:p>
    <w:p w14:paraId="3013B759" w14:textId="77777777" w:rsidR="00BF5E34" w:rsidRDefault="007007B2">
      <w:pPr>
        <w:pStyle w:val="Paragraphedeliste"/>
        <w:numPr>
          <w:ilvl w:val="0"/>
          <w:numId w:val="2"/>
        </w:numPr>
        <w:tabs>
          <w:tab w:val="left" w:pos="909"/>
          <w:tab w:val="left" w:pos="910"/>
        </w:tabs>
        <w:ind w:left="909" w:hanging="349"/>
        <w:rPr>
          <w:rFonts w:ascii="Symbol" w:hAnsi="Symbol"/>
          <w:sz w:val="20"/>
        </w:rPr>
      </w:pPr>
      <w:r>
        <w:t>Capacité d’investir en priorité dans l’adoption des technologies numériques.</w:t>
      </w:r>
    </w:p>
    <w:p w14:paraId="3013B75A" w14:textId="77777777" w:rsidR="00BF5E34" w:rsidRDefault="00BF5E34">
      <w:pPr>
        <w:rPr>
          <w:rFonts w:ascii="Symbol" w:hAnsi="Symbol"/>
          <w:sz w:val="20"/>
        </w:rPr>
        <w:sectPr w:rsidR="00BF5E34">
          <w:pgSz w:w="12240" w:h="15840"/>
          <w:pgMar w:top="1180" w:right="1220" w:bottom="1200" w:left="1220" w:header="705" w:footer="1000" w:gutter="0"/>
          <w:cols w:space="720"/>
        </w:sectPr>
      </w:pPr>
    </w:p>
    <w:p w14:paraId="3013B75B" w14:textId="77777777" w:rsidR="00BF5E34" w:rsidRDefault="007007B2">
      <w:pPr>
        <w:pStyle w:val="Paragraphedeliste"/>
        <w:numPr>
          <w:ilvl w:val="0"/>
          <w:numId w:val="2"/>
        </w:numPr>
        <w:tabs>
          <w:tab w:val="left" w:pos="910"/>
        </w:tabs>
        <w:spacing w:before="74"/>
        <w:ind w:left="909" w:right="112" w:hanging="348"/>
        <w:jc w:val="both"/>
        <w:rPr>
          <w:rFonts w:ascii="Symbol" w:hAnsi="Symbol"/>
          <w:sz w:val="20"/>
        </w:rPr>
      </w:pPr>
      <w:r>
        <w:lastRenderedPageBreak/>
        <w:t>Importance du projet, potentiel de croissance et retombées économiques attendues pour la PME et l’Ontario (p. ex., emplois créés et conservés, nouveaux revenus, nouveaux clients, investissements de suivi et gains de productivité).</w:t>
      </w:r>
    </w:p>
    <w:p w14:paraId="3013B75C" w14:textId="77777777" w:rsidR="00BF5E34" w:rsidRDefault="007007B2">
      <w:pPr>
        <w:pStyle w:val="Paragraphedeliste"/>
        <w:numPr>
          <w:ilvl w:val="0"/>
          <w:numId w:val="2"/>
        </w:numPr>
        <w:tabs>
          <w:tab w:val="left" w:pos="910"/>
        </w:tabs>
        <w:spacing w:line="260" w:lineRule="exact"/>
        <w:ind w:left="909" w:hanging="349"/>
        <w:jc w:val="both"/>
        <w:rPr>
          <w:rFonts w:ascii="Symbol" w:hAnsi="Symbol"/>
          <w:sz w:val="20"/>
        </w:rPr>
      </w:pPr>
      <w:r>
        <w:t>Capacité de la solution numérique des fournisseurs à combler les lacunes numériques de la PME.</w:t>
      </w:r>
    </w:p>
    <w:p w14:paraId="3013B75D" w14:textId="77777777" w:rsidR="00BF5E34" w:rsidRDefault="007007B2">
      <w:pPr>
        <w:pStyle w:val="Paragraphedeliste"/>
        <w:numPr>
          <w:ilvl w:val="0"/>
          <w:numId w:val="2"/>
        </w:numPr>
        <w:tabs>
          <w:tab w:val="left" w:pos="909"/>
          <w:tab w:val="left" w:pos="910"/>
        </w:tabs>
        <w:spacing w:before="10" w:line="247" w:lineRule="auto"/>
        <w:ind w:left="909" w:right="1397" w:hanging="348"/>
        <w:rPr>
          <w:rFonts w:ascii="Symbol" w:hAnsi="Symbol"/>
          <w:sz w:val="20"/>
        </w:rPr>
      </w:pPr>
      <w:r>
        <w:t>Compétences et expérience des membres de l’équipe, clarté des rôles et des responsabilités et preuves de collaboration.</w:t>
      </w:r>
    </w:p>
    <w:p w14:paraId="3013B75E" w14:textId="77777777" w:rsidR="00BF5E34" w:rsidRDefault="007007B2">
      <w:pPr>
        <w:pStyle w:val="Paragraphedeliste"/>
        <w:numPr>
          <w:ilvl w:val="0"/>
          <w:numId w:val="2"/>
        </w:numPr>
        <w:tabs>
          <w:tab w:val="left" w:pos="909"/>
          <w:tab w:val="left" w:pos="910"/>
        </w:tabs>
        <w:spacing w:line="267" w:lineRule="exact"/>
        <w:ind w:left="909" w:hanging="349"/>
        <w:rPr>
          <w:rFonts w:ascii="Symbol" w:hAnsi="Symbol"/>
          <w:sz w:val="20"/>
        </w:rPr>
      </w:pPr>
      <w:r>
        <w:t>Rôle et impact possibles des fournisseurs pour ce qui est d’accélérer la croissance et d’écourter le chemin d’accès au marché.</w:t>
      </w:r>
    </w:p>
    <w:p w14:paraId="3013B75F" w14:textId="77777777" w:rsidR="00BF5E34" w:rsidRDefault="007007B2">
      <w:pPr>
        <w:pStyle w:val="Paragraphedeliste"/>
        <w:numPr>
          <w:ilvl w:val="0"/>
          <w:numId w:val="2"/>
        </w:numPr>
        <w:tabs>
          <w:tab w:val="left" w:pos="909"/>
          <w:tab w:val="left" w:pos="910"/>
        </w:tabs>
        <w:spacing w:before="7" w:line="257" w:lineRule="exact"/>
        <w:ind w:left="909" w:hanging="349"/>
        <w:rPr>
          <w:rFonts w:ascii="Symbol" w:hAnsi="Symbol"/>
          <w:sz w:val="20"/>
        </w:rPr>
      </w:pPr>
      <w:r>
        <w:t>Clarté, faisabilité et pertinence du plan et du budget du projet.</w:t>
      </w:r>
    </w:p>
    <w:p w14:paraId="3013B760" w14:textId="77777777" w:rsidR="00BF5E34" w:rsidRDefault="007007B2">
      <w:pPr>
        <w:pStyle w:val="Paragraphedeliste"/>
        <w:numPr>
          <w:ilvl w:val="0"/>
          <w:numId w:val="2"/>
        </w:numPr>
        <w:tabs>
          <w:tab w:val="left" w:pos="909"/>
          <w:tab w:val="left" w:pos="910"/>
        </w:tabs>
        <w:spacing w:line="257" w:lineRule="exact"/>
        <w:ind w:left="909" w:hanging="349"/>
        <w:rPr>
          <w:rFonts w:ascii="Symbol" w:hAnsi="Symbol"/>
          <w:sz w:val="20"/>
        </w:rPr>
      </w:pPr>
      <w:r>
        <w:t>Qualité générale et exhaustivité de la demande.</w:t>
      </w:r>
    </w:p>
    <w:p w14:paraId="3013B761" w14:textId="77777777" w:rsidR="00BF5E34" w:rsidRDefault="00BF5E34">
      <w:pPr>
        <w:pStyle w:val="Corpsdetexte"/>
        <w:rPr>
          <w:sz w:val="26"/>
        </w:rPr>
      </w:pPr>
    </w:p>
    <w:p w14:paraId="3013B762" w14:textId="77777777" w:rsidR="00BF5E34" w:rsidRDefault="007007B2">
      <w:pPr>
        <w:pStyle w:val="Titre1"/>
        <w:spacing w:before="186"/>
      </w:pPr>
      <w:bookmarkStart w:id="12" w:name="_bookmark13"/>
      <w:bookmarkEnd w:id="12"/>
      <w:r>
        <w:rPr>
          <w:color w:val="2D5294"/>
        </w:rPr>
        <w:t>Lancement du projet, financement et production de rapports</w:t>
      </w:r>
    </w:p>
    <w:p w14:paraId="3013B763" w14:textId="77777777" w:rsidR="00BF5E34" w:rsidRDefault="007007B2">
      <w:pPr>
        <w:pStyle w:val="Titre2"/>
        <w:spacing w:before="98"/>
        <w:ind w:left="201"/>
      </w:pPr>
      <w:bookmarkStart w:id="13" w:name="_bookmark14"/>
      <w:bookmarkEnd w:id="13"/>
      <w:r>
        <w:rPr>
          <w:color w:val="2D5294"/>
        </w:rPr>
        <w:t>Lancement du projet</w:t>
      </w:r>
    </w:p>
    <w:p w14:paraId="3013B764" w14:textId="77777777" w:rsidR="00BF5E34" w:rsidRDefault="00BF5E34">
      <w:pPr>
        <w:pStyle w:val="Corpsdetexte"/>
        <w:spacing w:before="2"/>
        <w:rPr>
          <w:rFonts w:ascii="Calibri Light"/>
          <w:sz w:val="29"/>
        </w:rPr>
      </w:pPr>
    </w:p>
    <w:p w14:paraId="3013B765" w14:textId="77777777" w:rsidR="00BF5E34" w:rsidRDefault="007007B2">
      <w:pPr>
        <w:pStyle w:val="Paragraphedeliste"/>
        <w:numPr>
          <w:ilvl w:val="0"/>
          <w:numId w:val="2"/>
        </w:numPr>
        <w:tabs>
          <w:tab w:val="left" w:pos="918"/>
          <w:tab w:val="left" w:pos="919"/>
        </w:tabs>
        <w:ind w:right="781"/>
        <w:rPr>
          <w:rFonts w:ascii="Symbol" w:hAnsi="Symbol"/>
          <w:sz w:val="21"/>
        </w:rPr>
      </w:pPr>
      <w:r>
        <w:t xml:space="preserve">Une fois l’entente de financement signée, le CIO lancera le projet dans le système </w:t>
      </w:r>
      <w:proofErr w:type="spellStart"/>
      <w:r>
        <w:t>AccessOCI</w:t>
      </w:r>
      <w:proofErr w:type="spellEnd"/>
      <w:r>
        <w:t>.</w:t>
      </w:r>
    </w:p>
    <w:p w14:paraId="3013B766" w14:textId="77777777" w:rsidR="00BF5E34" w:rsidRDefault="00BF5E34">
      <w:pPr>
        <w:pStyle w:val="Corpsdetexte"/>
      </w:pPr>
    </w:p>
    <w:p w14:paraId="3013B768" w14:textId="77777777" w:rsidR="00BF5E34" w:rsidRDefault="007007B2">
      <w:pPr>
        <w:pStyle w:val="Titre2"/>
        <w:ind w:left="201"/>
      </w:pPr>
      <w:bookmarkStart w:id="14" w:name="_bookmark15"/>
      <w:bookmarkEnd w:id="14"/>
      <w:r>
        <w:rPr>
          <w:color w:val="2D5294"/>
        </w:rPr>
        <w:t>Versement des fonds</w:t>
      </w:r>
    </w:p>
    <w:p w14:paraId="3013B769" w14:textId="77777777" w:rsidR="00BF5E34" w:rsidRDefault="00BF5E34">
      <w:pPr>
        <w:pStyle w:val="Corpsdetexte"/>
        <w:spacing w:before="10"/>
        <w:rPr>
          <w:rFonts w:ascii="Calibri Light"/>
          <w:sz w:val="30"/>
        </w:rPr>
      </w:pPr>
    </w:p>
    <w:p w14:paraId="3013B76A" w14:textId="77777777" w:rsidR="00BF5E34" w:rsidRDefault="007007B2">
      <w:pPr>
        <w:pStyle w:val="Paragraphedeliste"/>
        <w:numPr>
          <w:ilvl w:val="0"/>
          <w:numId w:val="1"/>
        </w:numPr>
        <w:tabs>
          <w:tab w:val="left" w:pos="813"/>
          <w:tab w:val="left" w:pos="814"/>
        </w:tabs>
        <w:ind w:right="310"/>
        <w:rPr>
          <w:rFonts w:ascii="Symbol" w:hAnsi="Symbol"/>
          <w:sz w:val="20"/>
        </w:rPr>
      </w:pPr>
      <w:r>
        <w:t>Le Programme de démonstration de technologies est un programme de remboursement. Une fois l’entente de financement dûment signée, les clients devront commencer à réaliser leur projet et à mettre en œuvre leurs technologies numériques et servir d’une approche axée sur les résultats pour mesurer les gains d’efficacité procurés directement par le projet.</w:t>
      </w:r>
    </w:p>
    <w:p w14:paraId="3013B76B" w14:textId="77777777" w:rsidR="00BF5E34" w:rsidRDefault="00BF5E34">
      <w:pPr>
        <w:pStyle w:val="Corpsdetexte"/>
        <w:spacing w:before="9"/>
      </w:pPr>
    </w:p>
    <w:p w14:paraId="3013B76C" w14:textId="77777777" w:rsidR="00BF5E34" w:rsidRDefault="007007B2">
      <w:pPr>
        <w:pStyle w:val="Paragraphedeliste"/>
        <w:numPr>
          <w:ilvl w:val="0"/>
          <w:numId w:val="1"/>
        </w:numPr>
        <w:tabs>
          <w:tab w:val="left" w:pos="813"/>
          <w:tab w:val="left" w:pos="814"/>
        </w:tabs>
        <w:ind w:right="250"/>
        <w:rPr>
          <w:rFonts w:ascii="Symbol" w:hAnsi="Symbol"/>
          <w:sz w:val="20"/>
        </w:rPr>
      </w:pPr>
      <w:r>
        <w:t>Le financement du projet ne sera accordé qu’à la suite du lancement du projet et de l’approbation de la demande de remboursement au terme du projet. Le CIO ne sera pas tenu responsable des dépenses engagées pour le projet avant son lancement. Si, pour quelque raison que ce soit, les exigences relatives au lancement du projet ne sont pas satisfaites dans les 30 jours suivant la date de publication de l’avis d’approbation, l’offre de financement pourra être retirée.</w:t>
      </w:r>
    </w:p>
    <w:p w14:paraId="3013B76D" w14:textId="77777777" w:rsidR="00BF5E34" w:rsidRDefault="00BF5E34">
      <w:pPr>
        <w:pStyle w:val="Corpsdetexte"/>
        <w:spacing w:before="11"/>
        <w:rPr>
          <w:sz w:val="21"/>
        </w:rPr>
      </w:pPr>
    </w:p>
    <w:p w14:paraId="3013B76E" w14:textId="77777777" w:rsidR="00BF5E34" w:rsidRDefault="007007B2">
      <w:pPr>
        <w:pStyle w:val="Paragraphedeliste"/>
        <w:numPr>
          <w:ilvl w:val="0"/>
          <w:numId w:val="1"/>
        </w:numPr>
        <w:tabs>
          <w:tab w:val="left" w:pos="820"/>
          <w:tab w:val="left" w:pos="821"/>
        </w:tabs>
        <w:ind w:left="820" w:right="485" w:hanging="360"/>
        <w:rPr>
          <w:rFonts w:ascii="Symbol" w:hAnsi="Symbol"/>
          <w:sz w:val="20"/>
        </w:rPr>
      </w:pPr>
      <w:r>
        <w:t>Le financement sera versé directement à la PME moyennant un modèle de remboursement et la PME sera responsable de payer le fournisseur.</w:t>
      </w:r>
    </w:p>
    <w:p w14:paraId="3013B76F" w14:textId="77777777" w:rsidR="00BF5E34" w:rsidRDefault="00BF5E34">
      <w:pPr>
        <w:pStyle w:val="Corpsdetexte"/>
        <w:spacing w:before="1"/>
      </w:pPr>
    </w:p>
    <w:p w14:paraId="3013B770" w14:textId="77777777" w:rsidR="00BF5E34" w:rsidRDefault="007007B2">
      <w:pPr>
        <w:pStyle w:val="Titre2"/>
        <w:spacing w:line="317" w:lineRule="exact"/>
      </w:pPr>
      <w:bookmarkStart w:id="15" w:name="_bookmark16"/>
      <w:bookmarkEnd w:id="15"/>
      <w:r>
        <w:rPr>
          <w:color w:val="2D5294"/>
        </w:rPr>
        <w:t>Production des rapports du projet</w:t>
      </w:r>
    </w:p>
    <w:p w14:paraId="3013B771" w14:textId="77777777" w:rsidR="00BF5E34" w:rsidRDefault="007007B2">
      <w:pPr>
        <w:pStyle w:val="Titre4"/>
        <w:spacing w:line="278" w:lineRule="auto"/>
      </w:pPr>
      <w:r>
        <w:t>Pour recevoir du financement du CIO, le demandeur DOIT rédiger tous les rapports précisés ci-dessous, car les exigences en la matière constituent une obligation contractuelle.</w:t>
      </w:r>
    </w:p>
    <w:p w14:paraId="3013B772" w14:textId="77777777" w:rsidR="00BF5E34" w:rsidRDefault="00BF5E34">
      <w:pPr>
        <w:pStyle w:val="Corpsdetexte"/>
        <w:spacing w:before="10"/>
        <w:rPr>
          <w:b/>
          <w:sz w:val="25"/>
        </w:rPr>
      </w:pPr>
    </w:p>
    <w:p w14:paraId="3013B773" w14:textId="78112B11" w:rsidR="00BF5E34" w:rsidRDefault="007007B2">
      <w:pPr>
        <w:pStyle w:val="Titre4"/>
        <w:spacing w:before="1" w:line="271" w:lineRule="auto"/>
        <w:ind w:right="471"/>
      </w:pPr>
      <w:r>
        <w:t>Remarque : les demandeurs DOIVENT conserver les preuves d’achat, les reçus et tous les justificatifs pertinents relatifs aux dépenses admissibles et les joindre au rapport final et à la demande de remboursement.</w:t>
      </w:r>
    </w:p>
    <w:p w14:paraId="3013B774" w14:textId="77777777" w:rsidR="00BF5E34" w:rsidRDefault="00BF5E34">
      <w:pPr>
        <w:pStyle w:val="Corpsdetexte"/>
        <w:rPr>
          <w:b/>
        </w:rPr>
      </w:pPr>
    </w:p>
    <w:p w14:paraId="3013B775" w14:textId="77777777" w:rsidR="00BF5E34" w:rsidRDefault="00BF5E34">
      <w:pPr>
        <w:pStyle w:val="Corpsdetexte"/>
        <w:spacing w:before="8"/>
        <w:rPr>
          <w:b/>
          <w:sz w:val="19"/>
        </w:rPr>
      </w:pPr>
    </w:p>
    <w:p w14:paraId="3013B777" w14:textId="1576526B" w:rsidR="00BF5E34" w:rsidRDefault="00BF5E34">
      <w:pPr>
        <w:pStyle w:val="Corpsdetexte"/>
        <w:spacing w:before="60" w:line="285" w:lineRule="auto"/>
        <w:ind w:left="220" w:right="520"/>
      </w:pPr>
      <w:bookmarkStart w:id="16" w:name="_bookmark17"/>
      <w:bookmarkEnd w:id="16"/>
    </w:p>
    <w:p w14:paraId="3013B778" w14:textId="77777777" w:rsidR="00BF5E34" w:rsidRDefault="00BF5E34">
      <w:pPr>
        <w:spacing w:line="285" w:lineRule="auto"/>
        <w:sectPr w:rsidR="00BF5E34">
          <w:pgSz w:w="12240" w:h="15840"/>
          <w:pgMar w:top="1180" w:right="1220" w:bottom="1200" w:left="1220" w:header="705" w:footer="1000" w:gutter="0"/>
          <w:cols w:space="720"/>
        </w:sectPr>
      </w:pPr>
    </w:p>
    <w:p w14:paraId="77448F43" w14:textId="77777777" w:rsidR="00FE220C" w:rsidRDefault="00FE220C" w:rsidP="00FE220C">
      <w:pPr>
        <w:pStyle w:val="Titre3"/>
      </w:pPr>
      <w:r>
        <w:rPr>
          <w:color w:val="1F3761"/>
        </w:rPr>
        <w:lastRenderedPageBreak/>
        <w:t>Rapport final</w:t>
      </w:r>
    </w:p>
    <w:p w14:paraId="3013B779" w14:textId="2EC91B78" w:rsidR="00BF5E34" w:rsidRDefault="00FE220C" w:rsidP="008E117F">
      <w:pPr>
        <w:pStyle w:val="Corpsdetexte"/>
        <w:spacing w:before="74" w:line="285" w:lineRule="auto"/>
        <w:ind w:left="220" w:right="302"/>
      </w:pPr>
      <w:r>
        <w:t xml:space="preserve">Un rapport final, comprenant un bilan des progrès réalisés, les attestations de dépenses, une attestation financière et une demande de remboursement, est exigé au terme du projet. Trente (30) jours avant la date prévue d’achèvement du projet, le demandeur recevra un avis de fin de projet provenant du système </w:t>
      </w:r>
      <w:proofErr w:type="spellStart"/>
      <w:r>
        <w:t>AccessOCI</w:t>
      </w:r>
      <w:proofErr w:type="spellEnd"/>
      <w:r>
        <w:t xml:space="preserve">, </w:t>
      </w:r>
      <w:r w:rsidR="007007B2">
        <w:t>accompagné d’un lien permettant à ce dernier ou au partenaire de projet de commencer à saisir des données, s’il le désire, en vue de la présentation du rapport final et de la demande de remboursement.</w:t>
      </w:r>
    </w:p>
    <w:p w14:paraId="3013B77A" w14:textId="77777777" w:rsidR="00BF5E34" w:rsidRPr="008E117F" w:rsidRDefault="00BF5E34">
      <w:pPr>
        <w:pStyle w:val="Corpsdetexte"/>
        <w:spacing w:before="5"/>
        <w:rPr>
          <w:sz w:val="16"/>
          <w:szCs w:val="16"/>
        </w:rPr>
      </w:pPr>
    </w:p>
    <w:p w14:paraId="3013B77B" w14:textId="77777777" w:rsidR="00BF5E34" w:rsidRDefault="007007B2">
      <w:pPr>
        <w:pStyle w:val="Paragraphedeliste"/>
        <w:numPr>
          <w:ilvl w:val="0"/>
          <w:numId w:val="1"/>
        </w:numPr>
        <w:tabs>
          <w:tab w:val="left" w:pos="949"/>
          <w:tab w:val="left" w:pos="950"/>
        </w:tabs>
        <w:spacing w:line="276" w:lineRule="auto"/>
        <w:ind w:left="950" w:right="1306" w:hanging="425"/>
        <w:rPr>
          <w:rFonts w:ascii="Symbol" w:hAnsi="Symbol"/>
          <w:sz w:val="21"/>
        </w:rPr>
      </w:pPr>
      <w:r>
        <w:t>Le demandeur doit faire état des jalons du projet, des réussites obtenues, des écarts par rapport aux prévisions, des données financières, des résultats de la commercialisation et des extrants économiques.</w:t>
      </w:r>
    </w:p>
    <w:p w14:paraId="3013B77C" w14:textId="77777777" w:rsidR="00BF5E34" w:rsidRDefault="007007B2">
      <w:pPr>
        <w:pStyle w:val="Paragraphedeliste"/>
        <w:numPr>
          <w:ilvl w:val="0"/>
          <w:numId w:val="1"/>
        </w:numPr>
        <w:tabs>
          <w:tab w:val="left" w:pos="916"/>
          <w:tab w:val="left" w:pos="917"/>
        </w:tabs>
        <w:spacing w:before="64" w:line="268" w:lineRule="auto"/>
        <w:ind w:left="916" w:right="506" w:hanging="358"/>
        <w:rPr>
          <w:rFonts w:ascii="Symbol" w:hAnsi="Symbol"/>
          <w:sz w:val="20"/>
        </w:rPr>
      </w:pPr>
      <w:r>
        <w:t xml:space="preserve">Si une prolongation du projet est nécessaire, le demandeur DOIT en faire la demande en utilisant l’onglet « Administration du projet » dans son dossier </w:t>
      </w:r>
      <w:proofErr w:type="spellStart"/>
      <w:r>
        <w:t>AccessOCI</w:t>
      </w:r>
      <w:proofErr w:type="spellEnd"/>
      <w:r>
        <w:t>. Les demandes de prolongation doivent être soumises avant la date de fin de projet et être approuvées par le CIO. Une prolongation maximale de trois (3) mois sera autorisée.</w:t>
      </w:r>
    </w:p>
    <w:p w14:paraId="3013B77E" w14:textId="3F7A8C18" w:rsidR="00BF5E34" w:rsidRPr="008E117F" w:rsidRDefault="007007B2" w:rsidP="00AC5866">
      <w:pPr>
        <w:pStyle w:val="Paragraphedeliste"/>
        <w:numPr>
          <w:ilvl w:val="0"/>
          <w:numId w:val="1"/>
        </w:numPr>
        <w:tabs>
          <w:tab w:val="left" w:pos="916"/>
          <w:tab w:val="left" w:pos="917"/>
        </w:tabs>
        <w:spacing w:before="60"/>
        <w:ind w:left="916" w:hanging="359"/>
        <w:rPr>
          <w:rFonts w:ascii="Symbol" w:hAnsi="Symbol"/>
          <w:spacing w:val="-2"/>
          <w:sz w:val="20"/>
        </w:rPr>
      </w:pPr>
      <w:r w:rsidRPr="008E117F">
        <w:rPr>
          <w:spacing w:val="-2"/>
        </w:rPr>
        <w:t xml:space="preserve">À la date prévue d’achèvement du projet, le demandeur recevra un autre avis du système </w:t>
      </w:r>
      <w:proofErr w:type="spellStart"/>
      <w:r w:rsidRPr="008E117F">
        <w:rPr>
          <w:spacing w:val="-2"/>
        </w:rPr>
        <w:t>AccessOCI</w:t>
      </w:r>
      <w:proofErr w:type="spellEnd"/>
      <w:r w:rsidRPr="008E117F">
        <w:rPr>
          <w:spacing w:val="-2"/>
        </w:rPr>
        <w:t xml:space="preserve"> du CIO</w:t>
      </w:r>
      <w:r w:rsidR="00AC5866" w:rsidRPr="008E117F">
        <w:rPr>
          <w:spacing w:val="-2"/>
        </w:rPr>
        <w:t xml:space="preserve"> </w:t>
      </w:r>
      <w:r w:rsidRPr="008E117F">
        <w:rPr>
          <w:spacing w:val="-2"/>
        </w:rPr>
        <w:t>contenant un lien l’invitant à remplir le rapport final et la demande de remboursement.</w:t>
      </w:r>
    </w:p>
    <w:p w14:paraId="3013B77F" w14:textId="4CF0B578" w:rsidR="00BF5E34" w:rsidRDefault="007007B2">
      <w:pPr>
        <w:pStyle w:val="Paragraphedeliste"/>
        <w:numPr>
          <w:ilvl w:val="0"/>
          <w:numId w:val="1"/>
        </w:numPr>
        <w:tabs>
          <w:tab w:val="left" w:pos="916"/>
          <w:tab w:val="left" w:pos="917"/>
        </w:tabs>
        <w:spacing w:before="92" w:line="268" w:lineRule="auto"/>
        <w:ind w:left="916" w:right="1067" w:hanging="358"/>
        <w:rPr>
          <w:rFonts w:ascii="Symbol" w:hAnsi="Symbol"/>
          <w:sz w:val="20"/>
        </w:rPr>
      </w:pPr>
      <w:r>
        <w:t>Tous les rapports finaux exigés du demandeur doivent être soumis dans les trente (30)</w:t>
      </w:r>
      <w:r w:rsidR="00FE220C">
        <w:t> </w:t>
      </w:r>
      <w:r>
        <w:t>jours suivant l’achèvement du projet afin de permettre le remboursement des dépenses admissibles et de demeurer en règle sur le plan financier avec le CIO.</w:t>
      </w:r>
    </w:p>
    <w:p w14:paraId="3013B780" w14:textId="77777777" w:rsidR="00BF5E34" w:rsidRDefault="007007B2">
      <w:pPr>
        <w:pStyle w:val="Paragraphedeliste"/>
        <w:numPr>
          <w:ilvl w:val="0"/>
          <w:numId w:val="1"/>
        </w:numPr>
        <w:tabs>
          <w:tab w:val="left" w:pos="921"/>
          <w:tab w:val="left" w:pos="922"/>
        </w:tabs>
        <w:spacing w:before="62"/>
        <w:ind w:left="921" w:hanging="361"/>
        <w:rPr>
          <w:rFonts w:ascii="Symbol" w:hAnsi="Symbol"/>
          <w:sz w:val="20"/>
        </w:rPr>
      </w:pPr>
      <w:r>
        <w:t>Lorsqu’une remise précoce des rapports est indiquée, il faut en faire la demande au CIO par courriel.</w:t>
      </w:r>
    </w:p>
    <w:p w14:paraId="3013B781" w14:textId="77777777" w:rsidR="00BF5E34" w:rsidRPr="008E117F" w:rsidRDefault="00BF5E34" w:rsidP="008E117F">
      <w:pPr>
        <w:pStyle w:val="Corpsdetexte"/>
        <w:rPr>
          <w:sz w:val="16"/>
          <w:szCs w:val="16"/>
        </w:rPr>
      </w:pPr>
    </w:p>
    <w:p w14:paraId="7D485E76" w14:textId="77777777" w:rsidR="00AC5866" w:rsidRDefault="007007B2" w:rsidP="008E117F">
      <w:pPr>
        <w:spacing w:line="240" w:lineRule="atLeast"/>
        <w:ind w:left="221" w:right="6203"/>
        <w:rPr>
          <w:rFonts w:ascii="Calibri Light"/>
          <w:color w:val="1F3761"/>
          <w:sz w:val="24"/>
        </w:rPr>
      </w:pPr>
      <w:bookmarkStart w:id="17" w:name="_bookmark18"/>
      <w:bookmarkEnd w:id="17"/>
      <w:r>
        <w:rPr>
          <w:rFonts w:ascii="Calibri Light"/>
          <w:color w:val="1F3761"/>
          <w:sz w:val="24"/>
        </w:rPr>
        <w:t xml:space="preserve">Indicateurs du projet </w:t>
      </w:r>
      <w:bookmarkStart w:id="18" w:name="_bookmark19"/>
      <w:bookmarkEnd w:id="18"/>
    </w:p>
    <w:p w14:paraId="3013B782" w14:textId="1CDA49A7" w:rsidR="00BF5E34" w:rsidRDefault="007007B2">
      <w:pPr>
        <w:spacing w:line="550" w:lineRule="atLeast"/>
        <w:ind w:left="220" w:right="6204"/>
        <w:rPr>
          <w:rFonts w:ascii="Calibri Light"/>
          <w:sz w:val="24"/>
        </w:rPr>
      </w:pPr>
      <w:r>
        <w:rPr>
          <w:rFonts w:ascii="Calibri Light"/>
          <w:color w:val="1F3761"/>
          <w:sz w:val="24"/>
        </w:rPr>
        <w:t>Enqu</w:t>
      </w:r>
      <w:r>
        <w:rPr>
          <w:rFonts w:ascii="Calibri Light"/>
          <w:color w:val="1F3761"/>
          <w:sz w:val="24"/>
        </w:rPr>
        <w:t>ê</w:t>
      </w:r>
      <w:r>
        <w:rPr>
          <w:rFonts w:ascii="Calibri Light"/>
          <w:color w:val="1F3761"/>
          <w:sz w:val="24"/>
        </w:rPr>
        <w:t>te r</w:t>
      </w:r>
      <w:r>
        <w:rPr>
          <w:rFonts w:ascii="Calibri Light"/>
          <w:color w:val="1F3761"/>
          <w:sz w:val="24"/>
        </w:rPr>
        <w:t>é</w:t>
      </w:r>
      <w:r>
        <w:rPr>
          <w:rFonts w:ascii="Calibri Light"/>
          <w:color w:val="1F3761"/>
          <w:sz w:val="24"/>
        </w:rPr>
        <w:t>trospective</w:t>
      </w:r>
    </w:p>
    <w:p w14:paraId="3013B783" w14:textId="77777777" w:rsidR="00BF5E34" w:rsidRDefault="007007B2" w:rsidP="008E117F">
      <w:pPr>
        <w:pStyle w:val="Corpsdetexte"/>
        <w:spacing w:before="66" w:line="285" w:lineRule="auto"/>
        <w:ind w:left="220" w:right="444"/>
      </w:pPr>
      <w:r>
        <w:t>Chaque année pendant les trois ans qui suivent l’achèvement du projet, les demandeurs devront répondre à une brève enquête rétrospective. Un, deux et trois ans après l’achèvement du projet, le demandeur recevra un lien l’invitant à répondre à une enquête rétrospective pour permettre au CIO de recueillir des données sur les résultats commerciaux du projet. Ces informations sont requises par le CIO pour l’évaluation des retombées du programme et à des fins d’amélioration continue.</w:t>
      </w:r>
    </w:p>
    <w:p w14:paraId="3013B784" w14:textId="77777777" w:rsidR="00BF5E34" w:rsidRDefault="00BF5E34">
      <w:pPr>
        <w:pStyle w:val="Corpsdetexte"/>
        <w:spacing w:before="5"/>
        <w:rPr>
          <w:sz w:val="16"/>
        </w:rPr>
      </w:pPr>
    </w:p>
    <w:p w14:paraId="3013B785" w14:textId="77777777" w:rsidR="00BF5E34" w:rsidRDefault="007007B2">
      <w:pPr>
        <w:pStyle w:val="Titre2"/>
        <w:spacing w:before="1"/>
      </w:pPr>
      <w:bookmarkStart w:id="19" w:name="_bookmark20"/>
      <w:bookmarkEnd w:id="19"/>
      <w:r>
        <w:rPr>
          <w:color w:val="2D5294"/>
        </w:rPr>
        <w:t>Modifications au projet</w:t>
      </w:r>
    </w:p>
    <w:p w14:paraId="3013B786" w14:textId="77777777" w:rsidR="00BF5E34" w:rsidRDefault="007007B2">
      <w:pPr>
        <w:pStyle w:val="Corpsdetexte"/>
        <w:spacing w:before="59" w:line="285" w:lineRule="auto"/>
        <w:ind w:left="220" w:right="687" w:firstLine="21"/>
      </w:pPr>
      <w:r>
        <w:t>Pour toute autre modification importante au projet, y compris les changements liés à la PME qui fait la demande ou au fournisseur, à la portée du travail, à l’échéancier, aux produits livrables ou aux dépenses admissibles du projet, le demandeur doit communiquer avec le gestionnaire de programmes du CIO dès que les changements sont connus. Le CIO peut décider de ne pas verser les fonds à un demandeur qui omet de lui communiquer des changements avant la présentation de son rapport final.</w:t>
      </w:r>
    </w:p>
    <w:p w14:paraId="3013B787" w14:textId="77777777" w:rsidR="00BF5E34" w:rsidRPr="008E117F" w:rsidRDefault="00BF5E34">
      <w:pPr>
        <w:pStyle w:val="Corpsdetexte"/>
        <w:spacing w:before="8"/>
        <w:rPr>
          <w:sz w:val="16"/>
          <w:szCs w:val="16"/>
        </w:rPr>
      </w:pPr>
    </w:p>
    <w:p w14:paraId="3013B788" w14:textId="77777777" w:rsidR="00BF5E34" w:rsidRDefault="007007B2">
      <w:pPr>
        <w:pStyle w:val="Corpsdetexte"/>
        <w:spacing w:line="280" w:lineRule="auto"/>
        <w:ind w:left="220" w:right="304" w:firstLine="21"/>
        <w:jc w:val="both"/>
      </w:pPr>
      <w:r>
        <w:t xml:space="preserve">Pour tout écart de 5 000 $ ou plus par rapport au budget du CIO, ou pour tout report de la date d’achèvement du projet, le demandeur doit remplir une demande de modification du projet avant la date d’achèvement, en utilisant l’onglet « Administration du projet » dans le dossier </w:t>
      </w:r>
      <w:proofErr w:type="spellStart"/>
      <w:r>
        <w:t>AccessOCI</w:t>
      </w:r>
      <w:proofErr w:type="spellEnd"/>
      <w:r>
        <w:t>.</w:t>
      </w:r>
    </w:p>
    <w:p w14:paraId="3013B789" w14:textId="77777777" w:rsidR="00BF5E34" w:rsidRDefault="00BF5E34">
      <w:pPr>
        <w:pStyle w:val="Corpsdetexte"/>
      </w:pPr>
    </w:p>
    <w:p w14:paraId="3013B78A" w14:textId="77777777" w:rsidR="00BF5E34" w:rsidRDefault="00BF5E34">
      <w:pPr>
        <w:pStyle w:val="Corpsdetexte"/>
        <w:spacing w:before="3"/>
        <w:rPr>
          <w:sz w:val="16"/>
        </w:rPr>
      </w:pPr>
    </w:p>
    <w:p w14:paraId="3013B78B" w14:textId="77777777" w:rsidR="00BF5E34" w:rsidRDefault="007007B2">
      <w:pPr>
        <w:pStyle w:val="Titre1"/>
        <w:ind w:left="220"/>
      </w:pPr>
      <w:bookmarkStart w:id="20" w:name="_bookmark21"/>
      <w:bookmarkEnd w:id="20"/>
      <w:r>
        <w:rPr>
          <w:color w:val="2D5294"/>
        </w:rPr>
        <w:t>Personnes-ressources</w:t>
      </w:r>
    </w:p>
    <w:p w14:paraId="3013B78C" w14:textId="77777777" w:rsidR="00BF5E34" w:rsidRDefault="007007B2">
      <w:pPr>
        <w:pStyle w:val="Corpsdetexte"/>
        <w:spacing w:before="59" w:line="285" w:lineRule="auto"/>
        <w:ind w:left="220" w:right="1071"/>
      </w:pPr>
      <w:r>
        <w:t>Pour toute question au sujet du programme, y compris sur les lignes directrices du programme, les conditions d’admissibilité et la marche à suivre pour soumettre une demande en ligne, veuillez communiquer avec votre gestionnaire en développement commercial ou conseillère ou conseiller en adoption du numérique du CIO.</w:t>
      </w:r>
    </w:p>
    <w:p w14:paraId="3013B78D" w14:textId="77777777" w:rsidR="00BF5E34" w:rsidRDefault="00BF5E34">
      <w:pPr>
        <w:pStyle w:val="Corpsdetexte"/>
      </w:pPr>
    </w:p>
    <w:p w14:paraId="3013B78E" w14:textId="77777777" w:rsidR="00BF5E34" w:rsidRDefault="007007B2">
      <w:pPr>
        <w:pStyle w:val="Corpsdetexte"/>
        <w:spacing w:before="173"/>
        <w:ind w:left="220"/>
        <w:jc w:val="both"/>
      </w:pPr>
      <w:r>
        <w:rPr>
          <w:color w:val="0000FF"/>
          <w:u w:val="single" w:color="0000FF"/>
        </w:rPr>
        <w:t>Consulter la base de connaissances des questions fréquemment posées au CIO</w:t>
      </w:r>
      <w:r>
        <w:t>.</w:t>
      </w:r>
    </w:p>
    <w:p w14:paraId="4408C078" w14:textId="77777777" w:rsidR="00FE220C" w:rsidRDefault="00FE220C" w:rsidP="00FE220C">
      <w:pPr>
        <w:pStyle w:val="Titre4"/>
        <w:spacing w:before="56"/>
      </w:pPr>
    </w:p>
    <w:p w14:paraId="0B2972B9" w14:textId="102A5B99" w:rsidR="00FE220C" w:rsidRDefault="00FE220C" w:rsidP="00FE220C">
      <w:pPr>
        <w:pStyle w:val="Titre4"/>
        <w:spacing w:before="56"/>
      </w:pPr>
      <w:r>
        <w:t>Autres renseignements :</w:t>
      </w:r>
    </w:p>
    <w:p w14:paraId="5022CF57" w14:textId="77777777" w:rsidR="00FE220C" w:rsidRDefault="00FE220C" w:rsidP="00FE220C">
      <w:pPr>
        <w:pStyle w:val="Corpsdetexte"/>
        <w:spacing w:before="11"/>
        <w:rPr>
          <w:b/>
          <w:sz w:val="26"/>
        </w:rPr>
      </w:pPr>
    </w:p>
    <w:p w14:paraId="627915EB" w14:textId="77777777" w:rsidR="00FE220C" w:rsidRDefault="00FE220C" w:rsidP="00FE220C">
      <w:pPr>
        <w:pStyle w:val="Titre4"/>
      </w:pPr>
      <w:r>
        <w:rPr>
          <w:color w:val="E14E35"/>
        </w:rPr>
        <w:t>Chris Ritchie</w:t>
      </w:r>
    </w:p>
    <w:p w14:paraId="5A4AC5FD" w14:textId="77777777" w:rsidR="00FE220C" w:rsidRDefault="00FE220C" w:rsidP="00FE220C">
      <w:pPr>
        <w:pStyle w:val="Corpsdetexte"/>
        <w:spacing w:before="63" w:line="295" w:lineRule="auto"/>
        <w:ind w:left="220" w:right="2854"/>
      </w:pPr>
      <w:r>
        <w:t xml:space="preserve">Responsable de l’équipe des gestionnaires en développement commercial Courriel : </w:t>
      </w:r>
      <w:hyperlink r:id="rId16">
        <w:r>
          <w:rPr>
            <w:color w:val="0000FF"/>
            <w:u w:val="single" w:color="0000FF"/>
          </w:rPr>
          <w:t>CRitchie@oc-innovation.ca</w:t>
        </w:r>
      </w:hyperlink>
    </w:p>
    <w:p w14:paraId="019A7127" w14:textId="77777777" w:rsidR="00FE220C" w:rsidRDefault="00FE220C" w:rsidP="00FE220C">
      <w:pPr>
        <w:pStyle w:val="Corpsdetexte"/>
        <w:spacing w:before="8"/>
        <w:rPr>
          <w:sz w:val="12"/>
        </w:rPr>
      </w:pPr>
    </w:p>
    <w:p w14:paraId="1CF38A69" w14:textId="77777777" w:rsidR="00FE220C" w:rsidRDefault="00FE220C" w:rsidP="00FE220C">
      <w:pPr>
        <w:pStyle w:val="Titre4"/>
        <w:spacing w:before="56"/>
      </w:pPr>
      <w:proofErr w:type="spellStart"/>
      <w:r>
        <w:rPr>
          <w:color w:val="E14E35"/>
        </w:rPr>
        <w:t>Vahid</w:t>
      </w:r>
      <w:proofErr w:type="spellEnd"/>
      <w:r>
        <w:rPr>
          <w:color w:val="E14E35"/>
        </w:rPr>
        <w:t xml:space="preserve"> Sadr</w:t>
      </w:r>
    </w:p>
    <w:p w14:paraId="46119C30" w14:textId="77777777" w:rsidR="00FE220C" w:rsidRDefault="00FE220C" w:rsidP="00FE220C">
      <w:pPr>
        <w:pStyle w:val="Corpsdetexte"/>
        <w:spacing w:before="56"/>
        <w:ind w:left="220"/>
      </w:pPr>
      <w:r>
        <w:t>Gestionnaire de programmes</w:t>
      </w:r>
    </w:p>
    <w:p w14:paraId="3013B798" w14:textId="456EE103" w:rsidR="00BF5E34" w:rsidRDefault="00FE220C" w:rsidP="00595A67">
      <w:pPr>
        <w:pStyle w:val="Corpsdetexte"/>
        <w:spacing w:before="41"/>
        <w:ind w:left="220"/>
      </w:pPr>
      <w:r>
        <w:t xml:space="preserve">Courriel : </w:t>
      </w:r>
      <w:hyperlink r:id="rId17">
        <w:r>
          <w:rPr>
            <w:color w:val="0000FF"/>
            <w:u w:val="single" w:color="0000FF"/>
          </w:rPr>
          <w:t>vsadr@oc-innovation.ca</w:t>
        </w:r>
      </w:hyperlink>
    </w:p>
    <w:sectPr w:rsidR="00BF5E34">
      <w:pgSz w:w="12240" w:h="15840"/>
      <w:pgMar w:top="1180" w:right="1220" w:bottom="1200" w:left="1220" w:header="705"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B7A0" w14:textId="77777777" w:rsidR="007007B2" w:rsidRDefault="007007B2">
      <w:r>
        <w:separator/>
      </w:r>
    </w:p>
  </w:endnote>
  <w:endnote w:type="continuationSeparator" w:id="0">
    <w:p w14:paraId="3013B7A2" w14:textId="77777777" w:rsidR="007007B2" w:rsidRDefault="0070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79B" w14:textId="77777777" w:rsidR="00BF5E34" w:rsidRDefault="0074184E">
    <w:pPr>
      <w:pStyle w:val="Corpsdetexte"/>
      <w:spacing w:line="14" w:lineRule="auto"/>
      <w:rPr>
        <w:sz w:val="20"/>
      </w:rPr>
    </w:pPr>
    <w:r>
      <w:pict w14:anchorId="3013B7A0">
        <v:shapetype id="_x0000_t202" coordsize="21600,21600" o:spt="202" path="m,l,21600r21600,l21600,xe">
          <v:stroke joinstyle="miter"/>
          <v:path gradientshapeok="t" o:connecttype="rect"/>
        </v:shapetype>
        <v:shape id="docshape1" o:spid="_x0000_s1026" type="#_x0000_t202" style="position:absolute;margin-left:76.4pt;margin-top:730.45pt;width:189.1pt;height:13.4pt;z-index:-15920128;mso-position-horizontal-relative:page;mso-position-vertical-relative:page" filled="f" stroked="f">
          <v:textbox inset="0,0,0,0">
            <w:txbxContent>
              <w:p w14:paraId="3013B7A2" w14:textId="77777777" w:rsidR="00BF5E34" w:rsidRDefault="007007B2">
                <w:pPr>
                  <w:spacing w:line="174" w:lineRule="exact"/>
                  <w:ind w:left="20"/>
                  <w:rPr>
                    <w:rFonts w:ascii="Calibri Light"/>
                    <w:sz w:val="15"/>
                  </w:rPr>
                </w:pPr>
                <w:r>
                  <w:rPr>
                    <w:rFonts w:ascii="Calibri Light"/>
                    <w:sz w:val="15"/>
                  </w:rPr>
                  <w:t>Programme de d</w:t>
                </w:r>
                <w:r>
                  <w:rPr>
                    <w:rFonts w:ascii="Calibri Light"/>
                    <w:sz w:val="15"/>
                  </w:rPr>
                  <w:t>é</w:t>
                </w:r>
                <w:r>
                  <w:rPr>
                    <w:rFonts w:ascii="Calibri Light"/>
                    <w:sz w:val="15"/>
                  </w:rPr>
                  <w:t>monstration de technologies du CCN</w:t>
                </w:r>
              </w:p>
            </w:txbxContent>
          </v:textbox>
          <w10:wrap anchorx="page" anchory="page"/>
        </v:shape>
      </w:pict>
    </w:r>
    <w:r>
      <w:pict w14:anchorId="3013B7A1">
        <v:shape id="docshape2" o:spid="_x0000_s1025" type="#_x0000_t202" style="position:absolute;margin-left:501.3pt;margin-top:730.75pt;width:37pt;height:12.6pt;z-index:-15919616;mso-position-horizontal-relative:page;mso-position-vertical-relative:page" filled="f" stroked="f">
          <v:textbox inset="0,0,0,0">
            <w:txbxContent>
              <w:p w14:paraId="3013B7A3" w14:textId="77777777" w:rsidR="00BF5E34" w:rsidRDefault="007007B2">
                <w:pPr>
                  <w:spacing w:line="235" w:lineRule="exact"/>
                  <w:ind w:left="20"/>
                  <w:rPr>
                    <w:sz w:val="21"/>
                  </w:rPr>
                </w:pPr>
                <w:r>
                  <w:rPr>
                    <w:sz w:val="15"/>
                  </w:rPr>
                  <w:t xml:space="preserve">PAGE | </w:t>
                </w:r>
                <w:r>
                  <w:fldChar w:fldCharType="begin"/>
                </w:r>
                <w:r>
                  <w:rPr>
                    <w:sz w:val="21"/>
                  </w:rPr>
                  <w:instrText xml:space="preserve"> PAGE </w:instrText>
                </w:r>
                <w:r>
                  <w:fldChar w:fldCharType="separate"/>
                </w:r>
                <w: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B79C" w14:textId="77777777" w:rsidR="007007B2" w:rsidRDefault="007007B2">
      <w:r>
        <w:separator/>
      </w:r>
    </w:p>
  </w:footnote>
  <w:footnote w:type="continuationSeparator" w:id="0">
    <w:p w14:paraId="3013B79E" w14:textId="77777777" w:rsidR="007007B2" w:rsidRDefault="00700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79A" w14:textId="77777777" w:rsidR="00BF5E34" w:rsidRDefault="007007B2">
    <w:pPr>
      <w:pStyle w:val="Corpsdetexte"/>
      <w:spacing w:line="14" w:lineRule="auto"/>
      <w:rPr>
        <w:sz w:val="20"/>
      </w:rPr>
    </w:pPr>
    <w:r>
      <w:rPr>
        <w:noProof/>
      </w:rPr>
      <w:drawing>
        <wp:anchor distT="0" distB="0" distL="0" distR="0" simplePos="0" relativeHeight="487395328" behindDoc="1" locked="0" layoutInCell="1" allowOverlap="1" wp14:anchorId="3013B79C" wp14:editId="3013B79D">
          <wp:simplePos x="0" y="0"/>
          <wp:positionH relativeFrom="page">
            <wp:posOffset>4956123</wp:posOffset>
          </wp:positionH>
          <wp:positionV relativeFrom="page">
            <wp:posOffset>447675</wp:posOffset>
          </wp:positionV>
          <wp:extent cx="786334" cy="304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86334" cy="304800"/>
                  </a:xfrm>
                  <a:prstGeom prst="rect">
                    <a:avLst/>
                  </a:prstGeom>
                </pic:spPr>
              </pic:pic>
            </a:graphicData>
          </a:graphic>
        </wp:anchor>
      </w:drawing>
    </w:r>
    <w:r>
      <w:rPr>
        <w:noProof/>
      </w:rPr>
      <w:drawing>
        <wp:anchor distT="0" distB="0" distL="0" distR="0" simplePos="0" relativeHeight="487395840" behindDoc="1" locked="0" layoutInCell="1" allowOverlap="1" wp14:anchorId="3013B79E" wp14:editId="3013B79F">
          <wp:simplePos x="0" y="0"/>
          <wp:positionH relativeFrom="page">
            <wp:posOffset>5949950</wp:posOffset>
          </wp:positionH>
          <wp:positionV relativeFrom="page">
            <wp:posOffset>481330</wp:posOffset>
          </wp:positionV>
          <wp:extent cx="902042" cy="2292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902042" cy="229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0205"/>
    <w:multiLevelType w:val="hybridMultilevel"/>
    <w:tmpl w:val="498E650E"/>
    <w:lvl w:ilvl="0" w:tplc="2A14C454">
      <w:start w:val="1"/>
      <w:numFmt w:val="decimal"/>
      <w:lvlText w:val="%1."/>
      <w:lvlJc w:val="left"/>
      <w:pPr>
        <w:ind w:left="561" w:hanging="360"/>
      </w:pPr>
      <w:rPr>
        <w:rFonts w:ascii="Calibri" w:eastAsia="Calibri" w:hAnsi="Calibri" w:cs="Calibri" w:hint="default"/>
        <w:b w:val="0"/>
        <w:bCs w:val="0"/>
        <w:i w:val="0"/>
        <w:iCs w:val="0"/>
        <w:color w:val="5E6C66"/>
        <w:w w:val="100"/>
        <w:sz w:val="21"/>
        <w:szCs w:val="21"/>
        <w:lang w:val="en-US" w:eastAsia="en-US" w:bidi="ar-SA"/>
      </w:rPr>
    </w:lvl>
    <w:lvl w:ilvl="1" w:tplc="7AF2288A">
      <w:numFmt w:val="bullet"/>
      <w:lvlText w:val="o"/>
      <w:lvlJc w:val="left"/>
      <w:pPr>
        <w:ind w:left="2001" w:hanging="358"/>
      </w:pPr>
      <w:rPr>
        <w:rFonts w:ascii="Courier New" w:eastAsia="Courier New" w:hAnsi="Courier New" w:cs="Courier New" w:hint="default"/>
        <w:b w:val="0"/>
        <w:bCs w:val="0"/>
        <w:i w:val="0"/>
        <w:iCs w:val="0"/>
        <w:w w:val="101"/>
        <w:sz w:val="20"/>
        <w:szCs w:val="20"/>
        <w:lang w:val="en-US" w:eastAsia="en-US" w:bidi="ar-SA"/>
      </w:rPr>
    </w:lvl>
    <w:lvl w:ilvl="2" w:tplc="C434AB9E">
      <w:numFmt w:val="bullet"/>
      <w:lvlText w:val=""/>
      <w:lvlJc w:val="left"/>
      <w:pPr>
        <w:ind w:left="2721" w:hanging="358"/>
      </w:pPr>
      <w:rPr>
        <w:rFonts w:ascii="Wingdings" w:eastAsia="Wingdings" w:hAnsi="Wingdings" w:cs="Wingdings" w:hint="default"/>
        <w:b w:val="0"/>
        <w:bCs w:val="0"/>
        <w:i w:val="0"/>
        <w:iCs w:val="0"/>
        <w:w w:val="100"/>
        <w:sz w:val="20"/>
        <w:szCs w:val="20"/>
        <w:lang w:val="en-US" w:eastAsia="en-US" w:bidi="ar-SA"/>
      </w:rPr>
    </w:lvl>
    <w:lvl w:ilvl="3" w:tplc="6166E96C">
      <w:numFmt w:val="bullet"/>
      <w:lvlText w:val="•"/>
      <w:lvlJc w:val="left"/>
      <w:pPr>
        <w:ind w:left="3605" w:hanging="358"/>
      </w:pPr>
      <w:rPr>
        <w:rFonts w:hint="default"/>
        <w:lang w:val="en-US" w:eastAsia="en-US" w:bidi="ar-SA"/>
      </w:rPr>
    </w:lvl>
    <w:lvl w:ilvl="4" w:tplc="8B2C80B2">
      <w:numFmt w:val="bullet"/>
      <w:lvlText w:val="•"/>
      <w:lvlJc w:val="left"/>
      <w:pPr>
        <w:ind w:left="4490" w:hanging="358"/>
      </w:pPr>
      <w:rPr>
        <w:rFonts w:hint="default"/>
        <w:lang w:val="en-US" w:eastAsia="en-US" w:bidi="ar-SA"/>
      </w:rPr>
    </w:lvl>
    <w:lvl w:ilvl="5" w:tplc="8DFC698A">
      <w:numFmt w:val="bullet"/>
      <w:lvlText w:val="•"/>
      <w:lvlJc w:val="left"/>
      <w:pPr>
        <w:ind w:left="5375" w:hanging="358"/>
      </w:pPr>
      <w:rPr>
        <w:rFonts w:hint="default"/>
        <w:lang w:val="en-US" w:eastAsia="en-US" w:bidi="ar-SA"/>
      </w:rPr>
    </w:lvl>
    <w:lvl w:ilvl="6" w:tplc="465E120E">
      <w:numFmt w:val="bullet"/>
      <w:lvlText w:val="•"/>
      <w:lvlJc w:val="left"/>
      <w:pPr>
        <w:ind w:left="6260" w:hanging="358"/>
      </w:pPr>
      <w:rPr>
        <w:rFonts w:hint="default"/>
        <w:lang w:val="en-US" w:eastAsia="en-US" w:bidi="ar-SA"/>
      </w:rPr>
    </w:lvl>
    <w:lvl w:ilvl="7" w:tplc="E0CC99C4">
      <w:numFmt w:val="bullet"/>
      <w:lvlText w:val="•"/>
      <w:lvlJc w:val="left"/>
      <w:pPr>
        <w:ind w:left="7145" w:hanging="358"/>
      </w:pPr>
      <w:rPr>
        <w:rFonts w:hint="default"/>
        <w:lang w:val="en-US" w:eastAsia="en-US" w:bidi="ar-SA"/>
      </w:rPr>
    </w:lvl>
    <w:lvl w:ilvl="8" w:tplc="7BEC7766">
      <w:numFmt w:val="bullet"/>
      <w:lvlText w:val="•"/>
      <w:lvlJc w:val="left"/>
      <w:pPr>
        <w:ind w:left="8030" w:hanging="358"/>
      </w:pPr>
      <w:rPr>
        <w:rFonts w:hint="default"/>
        <w:lang w:val="en-US" w:eastAsia="en-US" w:bidi="ar-SA"/>
      </w:rPr>
    </w:lvl>
  </w:abstractNum>
  <w:abstractNum w:abstractNumId="1" w15:restartNumberingAfterBreak="0">
    <w:nsid w:val="2FB26EC0"/>
    <w:multiLevelType w:val="hybridMultilevel"/>
    <w:tmpl w:val="309ACFFA"/>
    <w:lvl w:ilvl="0" w:tplc="536017F4">
      <w:numFmt w:val="bullet"/>
      <w:lvlText w:val=""/>
      <w:lvlJc w:val="left"/>
      <w:pPr>
        <w:ind w:left="826" w:hanging="358"/>
      </w:pPr>
      <w:rPr>
        <w:rFonts w:ascii="Symbol" w:eastAsia="Symbol" w:hAnsi="Symbol" w:cs="Symbol" w:hint="default"/>
        <w:b w:val="0"/>
        <w:bCs w:val="0"/>
        <w:i w:val="0"/>
        <w:iCs w:val="0"/>
        <w:w w:val="102"/>
        <w:sz w:val="21"/>
        <w:szCs w:val="21"/>
        <w:lang w:val="en-US" w:eastAsia="en-US" w:bidi="ar-SA"/>
      </w:rPr>
    </w:lvl>
    <w:lvl w:ilvl="1" w:tplc="481848A8">
      <w:numFmt w:val="bullet"/>
      <w:lvlText w:val="•"/>
      <w:lvlJc w:val="left"/>
      <w:pPr>
        <w:ind w:left="1345" w:hanging="358"/>
      </w:pPr>
      <w:rPr>
        <w:rFonts w:hint="default"/>
        <w:lang w:val="en-US" w:eastAsia="en-US" w:bidi="ar-SA"/>
      </w:rPr>
    </w:lvl>
    <w:lvl w:ilvl="2" w:tplc="E9F02CC0">
      <w:numFmt w:val="bullet"/>
      <w:lvlText w:val="•"/>
      <w:lvlJc w:val="left"/>
      <w:pPr>
        <w:ind w:left="1871" w:hanging="358"/>
      </w:pPr>
      <w:rPr>
        <w:rFonts w:hint="default"/>
        <w:lang w:val="en-US" w:eastAsia="en-US" w:bidi="ar-SA"/>
      </w:rPr>
    </w:lvl>
    <w:lvl w:ilvl="3" w:tplc="315E2DEC">
      <w:numFmt w:val="bullet"/>
      <w:lvlText w:val="•"/>
      <w:lvlJc w:val="left"/>
      <w:pPr>
        <w:ind w:left="2397" w:hanging="358"/>
      </w:pPr>
      <w:rPr>
        <w:rFonts w:hint="default"/>
        <w:lang w:val="en-US" w:eastAsia="en-US" w:bidi="ar-SA"/>
      </w:rPr>
    </w:lvl>
    <w:lvl w:ilvl="4" w:tplc="42C62E32">
      <w:numFmt w:val="bullet"/>
      <w:lvlText w:val="•"/>
      <w:lvlJc w:val="left"/>
      <w:pPr>
        <w:ind w:left="2923" w:hanging="358"/>
      </w:pPr>
      <w:rPr>
        <w:rFonts w:hint="default"/>
        <w:lang w:val="en-US" w:eastAsia="en-US" w:bidi="ar-SA"/>
      </w:rPr>
    </w:lvl>
    <w:lvl w:ilvl="5" w:tplc="8282305A">
      <w:numFmt w:val="bullet"/>
      <w:lvlText w:val="•"/>
      <w:lvlJc w:val="left"/>
      <w:pPr>
        <w:ind w:left="3449" w:hanging="358"/>
      </w:pPr>
      <w:rPr>
        <w:rFonts w:hint="default"/>
        <w:lang w:val="en-US" w:eastAsia="en-US" w:bidi="ar-SA"/>
      </w:rPr>
    </w:lvl>
    <w:lvl w:ilvl="6" w:tplc="4CBC1B3A">
      <w:numFmt w:val="bullet"/>
      <w:lvlText w:val="•"/>
      <w:lvlJc w:val="left"/>
      <w:pPr>
        <w:ind w:left="3975" w:hanging="358"/>
      </w:pPr>
      <w:rPr>
        <w:rFonts w:hint="default"/>
        <w:lang w:val="en-US" w:eastAsia="en-US" w:bidi="ar-SA"/>
      </w:rPr>
    </w:lvl>
    <w:lvl w:ilvl="7" w:tplc="F52EAD64">
      <w:numFmt w:val="bullet"/>
      <w:lvlText w:val="•"/>
      <w:lvlJc w:val="left"/>
      <w:pPr>
        <w:ind w:left="4501" w:hanging="358"/>
      </w:pPr>
      <w:rPr>
        <w:rFonts w:hint="default"/>
        <w:lang w:val="en-US" w:eastAsia="en-US" w:bidi="ar-SA"/>
      </w:rPr>
    </w:lvl>
    <w:lvl w:ilvl="8" w:tplc="5336CEF4">
      <w:numFmt w:val="bullet"/>
      <w:lvlText w:val="•"/>
      <w:lvlJc w:val="left"/>
      <w:pPr>
        <w:ind w:left="5027" w:hanging="358"/>
      </w:pPr>
      <w:rPr>
        <w:rFonts w:hint="default"/>
        <w:lang w:val="en-US" w:eastAsia="en-US" w:bidi="ar-SA"/>
      </w:rPr>
    </w:lvl>
  </w:abstractNum>
  <w:abstractNum w:abstractNumId="2" w15:restartNumberingAfterBreak="0">
    <w:nsid w:val="43956D9D"/>
    <w:multiLevelType w:val="hybridMultilevel"/>
    <w:tmpl w:val="E422AFB8"/>
    <w:lvl w:ilvl="0" w:tplc="9968B024">
      <w:numFmt w:val="bullet"/>
      <w:lvlText w:val=""/>
      <w:lvlJc w:val="left"/>
      <w:pPr>
        <w:ind w:left="940" w:hanging="360"/>
      </w:pPr>
      <w:rPr>
        <w:rFonts w:ascii="Symbol" w:eastAsia="Symbol" w:hAnsi="Symbol" w:cs="Symbol" w:hint="default"/>
        <w:b w:val="0"/>
        <w:bCs w:val="0"/>
        <w:i w:val="0"/>
        <w:iCs w:val="0"/>
        <w:w w:val="102"/>
        <w:sz w:val="21"/>
        <w:szCs w:val="21"/>
        <w:lang w:val="en-US" w:eastAsia="en-US" w:bidi="ar-SA"/>
      </w:rPr>
    </w:lvl>
    <w:lvl w:ilvl="1" w:tplc="E54A0356">
      <w:numFmt w:val="bullet"/>
      <w:lvlText w:val=""/>
      <w:lvlJc w:val="left"/>
      <w:pPr>
        <w:ind w:left="1271" w:hanging="360"/>
      </w:pPr>
      <w:rPr>
        <w:rFonts w:ascii="Symbol" w:eastAsia="Symbol" w:hAnsi="Symbol" w:cs="Symbol" w:hint="default"/>
        <w:b w:val="0"/>
        <w:bCs w:val="0"/>
        <w:i w:val="0"/>
        <w:iCs w:val="0"/>
        <w:w w:val="100"/>
        <w:sz w:val="22"/>
        <w:szCs w:val="22"/>
        <w:lang w:val="en-US" w:eastAsia="en-US" w:bidi="ar-SA"/>
      </w:rPr>
    </w:lvl>
    <w:lvl w:ilvl="2" w:tplc="5566A47E">
      <w:numFmt w:val="bullet"/>
      <w:lvlText w:val="•"/>
      <w:lvlJc w:val="left"/>
      <w:pPr>
        <w:ind w:left="2226" w:hanging="360"/>
      </w:pPr>
      <w:rPr>
        <w:rFonts w:hint="default"/>
        <w:lang w:val="en-US" w:eastAsia="en-US" w:bidi="ar-SA"/>
      </w:rPr>
    </w:lvl>
    <w:lvl w:ilvl="3" w:tplc="E004BF4A">
      <w:numFmt w:val="bullet"/>
      <w:lvlText w:val="•"/>
      <w:lvlJc w:val="left"/>
      <w:pPr>
        <w:ind w:left="3173" w:hanging="360"/>
      </w:pPr>
      <w:rPr>
        <w:rFonts w:hint="default"/>
        <w:lang w:val="en-US" w:eastAsia="en-US" w:bidi="ar-SA"/>
      </w:rPr>
    </w:lvl>
    <w:lvl w:ilvl="4" w:tplc="201E8CE8">
      <w:numFmt w:val="bullet"/>
      <w:lvlText w:val="•"/>
      <w:lvlJc w:val="left"/>
      <w:pPr>
        <w:ind w:left="4120" w:hanging="360"/>
      </w:pPr>
      <w:rPr>
        <w:rFonts w:hint="default"/>
        <w:lang w:val="en-US" w:eastAsia="en-US" w:bidi="ar-SA"/>
      </w:rPr>
    </w:lvl>
    <w:lvl w:ilvl="5" w:tplc="2E2CD3E6">
      <w:numFmt w:val="bullet"/>
      <w:lvlText w:val="•"/>
      <w:lvlJc w:val="left"/>
      <w:pPr>
        <w:ind w:left="5066" w:hanging="360"/>
      </w:pPr>
      <w:rPr>
        <w:rFonts w:hint="default"/>
        <w:lang w:val="en-US" w:eastAsia="en-US" w:bidi="ar-SA"/>
      </w:rPr>
    </w:lvl>
    <w:lvl w:ilvl="6" w:tplc="CC2C5F8A">
      <w:numFmt w:val="bullet"/>
      <w:lvlText w:val="•"/>
      <w:lvlJc w:val="left"/>
      <w:pPr>
        <w:ind w:left="6013" w:hanging="360"/>
      </w:pPr>
      <w:rPr>
        <w:rFonts w:hint="default"/>
        <w:lang w:val="en-US" w:eastAsia="en-US" w:bidi="ar-SA"/>
      </w:rPr>
    </w:lvl>
    <w:lvl w:ilvl="7" w:tplc="C2DAACDC">
      <w:numFmt w:val="bullet"/>
      <w:lvlText w:val="•"/>
      <w:lvlJc w:val="left"/>
      <w:pPr>
        <w:ind w:left="6960" w:hanging="360"/>
      </w:pPr>
      <w:rPr>
        <w:rFonts w:hint="default"/>
        <w:lang w:val="en-US" w:eastAsia="en-US" w:bidi="ar-SA"/>
      </w:rPr>
    </w:lvl>
    <w:lvl w:ilvl="8" w:tplc="0C4AECF6">
      <w:numFmt w:val="bullet"/>
      <w:lvlText w:val="•"/>
      <w:lvlJc w:val="left"/>
      <w:pPr>
        <w:ind w:left="7906" w:hanging="360"/>
      </w:pPr>
      <w:rPr>
        <w:rFonts w:hint="default"/>
        <w:lang w:val="en-US" w:eastAsia="en-US" w:bidi="ar-SA"/>
      </w:rPr>
    </w:lvl>
  </w:abstractNum>
  <w:abstractNum w:abstractNumId="3" w15:restartNumberingAfterBreak="0">
    <w:nsid w:val="5CB12FB0"/>
    <w:multiLevelType w:val="hybridMultilevel"/>
    <w:tmpl w:val="6F86DFB8"/>
    <w:lvl w:ilvl="0" w:tplc="1F3A60F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487077BA">
      <w:numFmt w:val="bullet"/>
      <w:lvlText w:val="•"/>
      <w:lvlJc w:val="left"/>
      <w:pPr>
        <w:ind w:left="1628" w:hanging="360"/>
      </w:pPr>
      <w:rPr>
        <w:rFonts w:hint="default"/>
        <w:lang w:val="en-US" w:eastAsia="en-US" w:bidi="ar-SA"/>
      </w:rPr>
    </w:lvl>
    <w:lvl w:ilvl="2" w:tplc="96363DCC">
      <w:numFmt w:val="bullet"/>
      <w:lvlText w:val="•"/>
      <w:lvlJc w:val="left"/>
      <w:pPr>
        <w:ind w:left="2436" w:hanging="360"/>
      </w:pPr>
      <w:rPr>
        <w:rFonts w:hint="default"/>
        <w:lang w:val="en-US" w:eastAsia="en-US" w:bidi="ar-SA"/>
      </w:rPr>
    </w:lvl>
    <w:lvl w:ilvl="3" w:tplc="0B16AB10">
      <w:numFmt w:val="bullet"/>
      <w:lvlText w:val="•"/>
      <w:lvlJc w:val="left"/>
      <w:pPr>
        <w:ind w:left="3244" w:hanging="360"/>
      </w:pPr>
      <w:rPr>
        <w:rFonts w:hint="default"/>
        <w:lang w:val="en-US" w:eastAsia="en-US" w:bidi="ar-SA"/>
      </w:rPr>
    </w:lvl>
    <w:lvl w:ilvl="4" w:tplc="1E6EC458">
      <w:numFmt w:val="bullet"/>
      <w:lvlText w:val="•"/>
      <w:lvlJc w:val="left"/>
      <w:pPr>
        <w:ind w:left="4053" w:hanging="360"/>
      </w:pPr>
      <w:rPr>
        <w:rFonts w:hint="default"/>
        <w:lang w:val="en-US" w:eastAsia="en-US" w:bidi="ar-SA"/>
      </w:rPr>
    </w:lvl>
    <w:lvl w:ilvl="5" w:tplc="21589344">
      <w:numFmt w:val="bullet"/>
      <w:lvlText w:val="•"/>
      <w:lvlJc w:val="left"/>
      <w:pPr>
        <w:ind w:left="4861" w:hanging="360"/>
      </w:pPr>
      <w:rPr>
        <w:rFonts w:hint="default"/>
        <w:lang w:val="en-US" w:eastAsia="en-US" w:bidi="ar-SA"/>
      </w:rPr>
    </w:lvl>
    <w:lvl w:ilvl="6" w:tplc="444EE99A">
      <w:numFmt w:val="bullet"/>
      <w:lvlText w:val="•"/>
      <w:lvlJc w:val="left"/>
      <w:pPr>
        <w:ind w:left="5669" w:hanging="360"/>
      </w:pPr>
      <w:rPr>
        <w:rFonts w:hint="default"/>
        <w:lang w:val="en-US" w:eastAsia="en-US" w:bidi="ar-SA"/>
      </w:rPr>
    </w:lvl>
    <w:lvl w:ilvl="7" w:tplc="538C7228">
      <w:numFmt w:val="bullet"/>
      <w:lvlText w:val="•"/>
      <w:lvlJc w:val="left"/>
      <w:pPr>
        <w:ind w:left="6478" w:hanging="360"/>
      </w:pPr>
      <w:rPr>
        <w:rFonts w:hint="default"/>
        <w:lang w:val="en-US" w:eastAsia="en-US" w:bidi="ar-SA"/>
      </w:rPr>
    </w:lvl>
    <w:lvl w:ilvl="8" w:tplc="E72656CC">
      <w:numFmt w:val="bullet"/>
      <w:lvlText w:val="•"/>
      <w:lvlJc w:val="left"/>
      <w:pPr>
        <w:ind w:left="7286" w:hanging="360"/>
      </w:pPr>
      <w:rPr>
        <w:rFonts w:hint="default"/>
        <w:lang w:val="en-US" w:eastAsia="en-US" w:bidi="ar-SA"/>
      </w:rPr>
    </w:lvl>
  </w:abstractNum>
  <w:abstractNum w:abstractNumId="4" w15:restartNumberingAfterBreak="0">
    <w:nsid w:val="6A410A77"/>
    <w:multiLevelType w:val="hybridMultilevel"/>
    <w:tmpl w:val="463A79AC"/>
    <w:lvl w:ilvl="0" w:tplc="4FC82FE8">
      <w:numFmt w:val="bullet"/>
      <w:lvlText w:val=""/>
      <w:lvlJc w:val="left"/>
      <w:pPr>
        <w:ind w:left="813" w:hanging="356"/>
      </w:pPr>
      <w:rPr>
        <w:rFonts w:ascii="Symbol" w:eastAsia="Symbol" w:hAnsi="Symbol" w:cs="Symbol" w:hint="default"/>
        <w:b w:val="0"/>
        <w:bCs w:val="0"/>
        <w:i w:val="0"/>
        <w:iCs w:val="0"/>
        <w:w w:val="99"/>
        <w:sz w:val="20"/>
        <w:szCs w:val="20"/>
        <w:lang w:val="en-US" w:eastAsia="en-US" w:bidi="ar-SA"/>
      </w:rPr>
    </w:lvl>
    <w:lvl w:ilvl="1" w:tplc="5C5811C6">
      <w:numFmt w:val="bullet"/>
      <w:lvlText w:val=""/>
      <w:lvlJc w:val="left"/>
      <w:pPr>
        <w:ind w:left="940" w:hanging="360"/>
      </w:pPr>
      <w:rPr>
        <w:rFonts w:ascii="Symbol" w:eastAsia="Symbol" w:hAnsi="Symbol" w:cs="Symbol" w:hint="default"/>
        <w:b w:val="0"/>
        <w:bCs w:val="0"/>
        <w:i w:val="0"/>
        <w:iCs w:val="0"/>
        <w:w w:val="102"/>
        <w:sz w:val="21"/>
        <w:szCs w:val="21"/>
        <w:lang w:val="en-US" w:eastAsia="en-US" w:bidi="ar-SA"/>
      </w:rPr>
    </w:lvl>
    <w:lvl w:ilvl="2" w:tplc="4C081FD8">
      <w:numFmt w:val="bullet"/>
      <w:lvlText w:val="•"/>
      <w:lvlJc w:val="left"/>
      <w:pPr>
        <w:ind w:left="1924" w:hanging="360"/>
      </w:pPr>
      <w:rPr>
        <w:rFonts w:hint="default"/>
        <w:lang w:val="en-US" w:eastAsia="en-US" w:bidi="ar-SA"/>
      </w:rPr>
    </w:lvl>
    <w:lvl w:ilvl="3" w:tplc="F92491BA">
      <w:numFmt w:val="bullet"/>
      <w:lvlText w:val="•"/>
      <w:lvlJc w:val="left"/>
      <w:pPr>
        <w:ind w:left="2908" w:hanging="360"/>
      </w:pPr>
      <w:rPr>
        <w:rFonts w:hint="default"/>
        <w:lang w:val="en-US" w:eastAsia="en-US" w:bidi="ar-SA"/>
      </w:rPr>
    </w:lvl>
    <w:lvl w:ilvl="4" w:tplc="03A2997C">
      <w:numFmt w:val="bullet"/>
      <w:lvlText w:val="•"/>
      <w:lvlJc w:val="left"/>
      <w:pPr>
        <w:ind w:left="3893" w:hanging="360"/>
      </w:pPr>
      <w:rPr>
        <w:rFonts w:hint="default"/>
        <w:lang w:val="en-US" w:eastAsia="en-US" w:bidi="ar-SA"/>
      </w:rPr>
    </w:lvl>
    <w:lvl w:ilvl="5" w:tplc="C6BCBDBE">
      <w:numFmt w:val="bullet"/>
      <w:lvlText w:val="•"/>
      <w:lvlJc w:val="left"/>
      <w:pPr>
        <w:ind w:left="4877" w:hanging="360"/>
      </w:pPr>
      <w:rPr>
        <w:rFonts w:hint="default"/>
        <w:lang w:val="en-US" w:eastAsia="en-US" w:bidi="ar-SA"/>
      </w:rPr>
    </w:lvl>
    <w:lvl w:ilvl="6" w:tplc="C73CF852">
      <w:numFmt w:val="bullet"/>
      <w:lvlText w:val="•"/>
      <w:lvlJc w:val="left"/>
      <w:pPr>
        <w:ind w:left="5862" w:hanging="360"/>
      </w:pPr>
      <w:rPr>
        <w:rFonts w:hint="default"/>
        <w:lang w:val="en-US" w:eastAsia="en-US" w:bidi="ar-SA"/>
      </w:rPr>
    </w:lvl>
    <w:lvl w:ilvl="7" w:tplc="29BA072E">
      <w:numFmt w:val="bullet"/>
      <w:lvlText w:val="•"/>
      <w:lvlJc w:val="left"/>
      <w:pPr>
        <w:ind w:left="6846" w:hanging="360"/>
      </w:pPr>
      <w:rPr>
        <w:rFonts w:hint="default"/>
        <w:lang w:val="en-US" w:eastAsia="en-US" w:bidi="ar-SA"/>
      </w:rPr>
    </w:lvl>
    <w:lvl w:ilvl="8" w:tplc="A9CA3CEA">
      <w:numFmt w:val="bullet"/>
      <w:lvlText w:val="•"/>
      <w:lvlJc w:val="left"/>
      <w:pPr>
        <w:ind w:left="7831" w:hanging="360"/>
      </w:pPr>
      <w:rPr>
        <w:rFonts w:hint="default"/>
        <w:lang w:val="en-US" w:eastAsia="en-US" w:bidi="ar-SA"/>
      </w:rPr>
    </w:lvl>
  </w:abstractNum>
  <w:abstractNum w:abstractNumId="5" w15:restartNumberingAfterBreak="0">
    <w:nsid w:val="754477DF"/>
    <w:multiLevelType w:val="hybridMultilevel"/>
    <w:tmpl w:val="EAB83C04"/>
    <w:lvl w:ilvl="0" w:tplc="D0D031B6">
      <w:numFmt w:val="bullet"/>
      <w:lvlText w:val=""/>
      <w:lvlJc w:val="left"/>
      <w:pPr>
        <w:ind w:left="918" w:hanging="358"/>
      </w:pPr>
      <w:rPr>
        <w:rFonts w:ascii="Symbol" w:eastAsia="Symbol" w:hAnsi="Symbol" w:cs="Symbol" w:hint="default"/>
        <w:w w:val="102"/>
        <w:lang w:val="en-US" w:eastAsia="en-US" w:bidi="ar-SA"/>
      </w:rPr>
    </w:lvl>
    <w:lvl w:ilvl="1" w:tplc="61268406">
      <w:numFmt w:val="bullet"/>
      <w:lvlText w:val="•"/>
      <w:lvlJc w:val="left"/>
      <w:pPr>
        <w:ind w:left="1808" w:hanging="358"/>
      </w:pPr>
      <w:rPr>
        <w:rFonts w:hint="default"/>
        <w:lang w:val="en-US" w:eastAsia="en-US" w:bidi="ar-SA"/>
      </w:rPr>
    </w:lvl>
    <w:lvl w:ilvl="2" w:tplc="49C6B006">
      <w:numFmt w:val="bullet"/>
      <w:lvlText w:val="•"/>
      <w:lvlJc w:val="left"/>
      <w:pPr>
        <w:ind w:left="2696" w:hanging="358"/>
      </w:pPr>
      <w:rPr>
        <w:rFonts w:hint="default"/>
        <w:lang w:val="en-US" w:eastAsia="en-US" w:bidi="ar-SA"/>
      </w:rPr>
    </w:lvl>
    <w:lvl w:ilvl="3" w:tplc="624C8674">
      <w:numFmt w:val="bullet"/>
      <w:lvlText w:val="•"/>
      <w:lvlJc w:val="left"/>
      <w:pPr>
        <w:ind w:left="3584" w:hanging="358"/>
      </w:pPr>
      <w:rPr>
        <w:rFonts w:hint="default"/>
        <w:lang w:val="en-US" w:eastAsia="en-US" w:bidi="ar-SA"/>
      </w:rPr>
    </w:lvl>
    <w:lvl w:ilvl="4" w:tplc="9642DEC2">
      <w:numFmt w:val="bullet"/>
      <w:lvlText w:val="•"/>
      <w:lvlJc w:val="left"/>
      <w:pPr>
        <w:ind w:left="4472" w:hanging="358"/>
      </w:pPr>
      <w:rPr>
        <w:rFonts w:hint="default"/>
        <w:lang w:val="en-US" w:eastAsia="en-US" w:bidi="ar-SA"/>
      </w:rPr>
    </w:lvl>
    <w:lvl w:ilvl="5" w:tplc="6B88A454">
      <w:numFmt w:val="bullet"/>
      <w:lvlText w:val="•"/>
      <w:lvlJc w:val="left"/>
      <w:pPr>
        <w:ind w:left="5360" w:hanging="358"/>
      </w:pPr>
      <w:rPr>
        <w:rFonts w:hint="default"/>
        <w:lang w:val="en-US" w:eastAsia="en-US" w:bidi="ar-SA"/>
      </w:rPr>
    </w:lvl>
    <w:lvl w:ilvl="6" w:tplc="AE58079C">
      <w:numFmt w:val="bullet"/>
      <w:lvlText w:val="•"/>
      <w:lvlJc w:val="left"/>
      <w:pPr>
        <w:ind w:left="6248" w:hanging="358"/>
      </w:pPr>
      <w:rPr>
        <w:rFonts w:hint="default"/>
        <w:lang w:val="en-US" w:eastAsia="en-US" w:bidi="ar-SA"/>
      </w:rPr>
    </w:lvl>
    <w:lvl w:ilvl="7" w:tplc="3FCAA09E">
      <w:numFmt w:val="bullet"/>
      <w:lvlText w:val="•"/>
      <w:lvlJc w:val="left"/>
      <w:pPr>
        <w:ind w:left="7136" w:hanging="358"/>
      </w:pPr>
      <w:rPr>
        <w:rFonts w:hint="default"/>
        <w:lang w:val="en-US" w:eastAsia="en-US" w:bidi="ar-SA"/>
      </w:rPr>
    </w:lvl>
    <w:lvl w:ilvl="8" w:tplc="3B34AE14">
      <w:numFmt w:val="bullet"/>
      <w:lvlText w:val="•"/>
      <w:lvlJc w:val="left"/>
      <w:pPr>
        <w:ind w:left="8024" w:hanging="358"/>
      </w:pPr>
      <w:rPr>
        <w:rFonts w:hint="default"/>
        <w:lang w:val="en-US" w:eastAsia="en-US" w:bidi="ar-SA"/>
      </w:rPr>
    </w:lvl>
  </w:abstractNum>
  <w:abstractNum w:abstractNumId="6" w15:restartNumberingAfterBreak="0">
    <w:nsid w:val="7F547D59"/>
    <w:multiLevelType w:val="hybridMultilevel"/>
    <w:tmpl w:val="1E78321A"/>
    <w:lvl w:ilvl="0" w:tplc="5CC09F98">
      <w:numFmt w:val="bullet"/>
      <w:lvlText w:val=""/>
      <w:lvlJc w:val="left"/>
      <w:pPr>
        <w:ind w:left="813" w:hanging="356"/>
      </w:pPr>
      <w:rPr>
        <w:rFonts w:ascii="Symbol" w:eastAsia="Symbol" w:hAnsi="Symbol" w:cs="Symbol" w:hint="default"/>
        <w:w w:val="99"/>
        <w:lang w:val="en-US" w:eastAsia="en-US" w:bidi="ar-SA"/>
      </w:rPr>
    </w:lvl>
    <w:lvl w:ilvl="1" w:tplc="2258F452">
      <w:numFmt w:val="bullet"/>
      <w:lvlText w:val="•"/>
      <w:lvlJc w:val="left"/>
      <w:pPr>
        <w:ind w:left="1718" w:hanging="356"/>
      </w:pPr>
      <w:rPr>
        <w:rFonts w:hint="default"/>
        <w:lang w:val="en-US" w:eastAsia="en-US" w:bidi="ar-SA"/>
      </w:rPr>
    </w:lvl>
    <w:lvl w:ilvl="2" w:tplc="83B8ACB0">
      <w:numFmt w:val="bullet"/>
      <w:lvlText w:val="•"/>
      <w:lvlJc w:val="left"/>
      <w:pPr>
        <w:ind w:left="2616" w:hanging="356"/>
      </w:pPr>
      <w:rPr>
        <w:rFonts w:hint="default"/>
        <w:lang w:val="en-US" w:eastAsia="en-US" w:bidi="ar-SA"/>
      </w:rPr>
    </w:lvl>
    <w:lvl w:ilvl="3" w:tplc="818A19A8">
      <w:numFmt w:val="bullet"/>
      <w:lvlText w:val="•"/>
      <w:lvlJc w:val="left"/>
      <w:pPr>
        <w:ind w:left="3514" w:hanging="356"/>
      </w:pPr>
      <w:rPr>
        <w:rFonts w:hint="default"/>
        <w:lang w:val="en-US" w:eastAsia="en-US" w:bidi="ar-SA"/>
      </w:rPr>
    </w:lvl>
    <w:lvl w:ilvl="4" w:tplc="927C44C4">
      <w:numFmt w:val="bullet"/>
      <w:lvlText w:val="•"/>
      <w:lvlJc w:val="left"/>
      <w:pPr>
        <w:ind w:left="4412" w:hanging="356"/>
      </w:pPr>
      <w:rPr>
        <w:rFonts w:hint="default"/>
        <w:lang w:val="en-US" w:eastAsia="en-US" w:bidi="ar-SA"/>
      </w:rPr>
    </w:lvl>
    <w:lvl w:ilvl="5" w:tplc="A4F4BB18">
      <w:numFmt w:val="bullet"/>
      <w:lvlText w:val="•"/>
      <w:lvlJc w:val="left"/>
      <w:pPr>
        <w:ind w:left="5310" w:hanging="356"/>
      </w:pPr>
      <w:rPr>
        <w:rFonts w:hint="default"/>
        <w:lang w:val="en-US" w:eastAsia="en-US" w:bidi="ar-SA"/>
      </w:rPr>
    </w:lvl>
    <w:lvl w:ilvl="6" w:tplc="2AB481D8">
      <w:numFmt w:val="bullet"/>
      <w:lvlText w:val="•"/>
      <w:lvlJc w:val="left"/>
      <w:pPr>
        <w:ind w:left="6208" w:hanging="356"/>
      </w:pPr>
      <w:rPr>
        <w:rFonts w:hint="default"/>
        <w:lang w:val="en-US" w:eastAsia="en-US" w:bidi="ar-SA"/>
      </w:rPr>
    </w:lvl>
    <w:lvl w:ilvl="7" w:tplc="DEC0F9F4">
      <w:numFmt w:val="bullet"/>
      <w:lvlText w:val="•"/>
      <w:lvlJc w:val="left"/>
      <w:pPr>
        <w:ind w:left="7106" w:hanging="356"/>
      </w:pPr>
      <w:rPr>
        <w:rFonts w:hint="default"/>
        <w:lang w:val="en-US" w:eastAsia="en-US" w:bidi="ar-SA"/>
      </w:rPr>
    </w:lvl>
    <w:lvl w:ilvl="8" w:tplc="D2F81684">
      <w:numFmt w:val="bullet"/>
      <w:lvlText w:val="•"/>
      <w:lvlJc w:val="left"/>
      <w:pPr>
        <w:ind w:left="8004" w:hanging="356"/>
      </w:pPr>
      <w:rPr>
        <w:rFonts w:hint="default"/>
        <w:lang w:val="en-US" w:eastAsia="en-US" w:bidi="ar-SA"/>
      </w:rPr>
    </w:lvl>
  </w:abstractNum>
  <w:num w:numId="1" w16cid:durableId="1333409953">
    <w:abstractNumId w:val="6"/>
  </w:num>
  <w:num w:numId="2" w16cid:durableId="1070151772">
    <w:abstractNumId w:val="5"/>
  </w:num>
  <w:num w:numId="3" w16cid:durableId="2072998525">
    <w:abstractNumId w:val="0"/>
  </w:num>
  <w:num w:numId="4" w16cid:durableId="890732323">
    <w:abstractNumId w:val="4"/>
  </w:num>
  <w:num w:numId="5" w16cid:durableId="1517425470">
    <w:abstractNumId w:val="1"/>
  </w:num>
  <w:num w:numId="6" w16cid:durableId="395249869">
    <w:abstractNumId w:val="3"/>
  </w:num>
  <w:num w:numId="7" w16cid:durableId="451049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F5E34"/>
    <w:rsid w:val="000C6BC5"/>
    <w:rsid w:val="00443F25"/>
    <w:rsid w:val="005542FD"/>
    <w:rsid w:val="00595A67"/>
    <w:rsid w:val="006769C4"/>
    <w:rsid w:val="007007B2"/>
    <w:rsid w:val="0074184E"/>
    <w:rsid w:val="00784C77"/>
    <w:rsid w:val="008E117F"/>
    <w:rsid w:val="00974AFF"/>
    <w:rsid w:val="009E26D4"/>
    <w:rsid w:val="00A23EDE"/>
    <w:rsid w:val="00AC5866"/>
    <w:rsid w:val="00AF63F2"/>
    <w:rsid w:val="00B5648F"/>
    <w:rsid w:val="00BF2144"/>
    <w:rsid w:val="00BF5E34"/>
    <w:rsid w:val="00D917FF"/>
    <w:rsid w:val="00EA5908"/>
    <w:rsid w:val="00F03A1D"/>
    <w:rsid w:val="00F1632A"/>
    <w:rsid w:val="00FE22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13B6B5"/>
  <w15:docId w15:val="{6AAAE4C2-3C49-4412-9409-7EAE89E8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spacing w:before="1"/>
      <w:ind w:left="201"/>
      <w:outlineLvl w:val="0"/>
    </w:pPr>
    <w:rPr>
      <w:rFonts w:ascii="Calibri Light" w:eastAsia="Calibri Light" w:hAnsi="Calibri Light" w:cs="Calibri Light"/>
      <w:sz w:val="32"/>
      <w:szCs w:val="32"/>
    </w:rPr>
  </w:style>
  <w:style w:type="paragraph" w:styleId="Titre2">
    <w:name w:val="heading 2"/>
    <w:basedOn w:val="Normal"/>
    <w:uiPriority w:val="9"/>
    <w:unhideWhenUsed/>
    <w:qFormat/>
    <w:pPr>
      <w:ind w:left="220"/>
      <w:outlineLvl w:val="1"/>
    </w:pPr>
    <w:rPr>
      <w:rFonts w:ascii="Calibri Light" w:eastAsia="Calibri Light" w:hAnsi="Calibri Light" w:cs="Calibri Light"/>
      <w:sz w:val="26"/>
      <w:szCs w:val="26"/>
    </w:rPr>
  </w:style>
  <w:style w:type="paragraph" w:styleId="Titre3">
    <w:name w:val="heading 3"/>
    <w:basedOn w:val="Normal"/>
    <w:uiPriority w:val="9"/>
    <w:unhideWhenUsed/>
    <w:qFormat/>
    <w:pPr>
      <w:ind w:left="220"/>
      <w:outlineLvl w:val="2"/>
    </w:pPr>
    <w:rPr>
      <w:rFonts w:ascii="Calibri Light" w:eastAsia="Calibri Light" w:hAnsi="Calibri Light" w:cs="Calibri Light"/>
      <w:sz w:val="24"/>
      <w:szCs w:val="24"/>
    </w:rPr>
  </w:style>
  <w:style w:type="paragraph" w:styleId="Titre4">
    <w:name w:val="heading 4"/>
    <w:basedOn w:val="Normal"/>
    <w:uiPriority w:val="9"/>
    <w:unhideWhenUsed/>
    <w:qFormat/>
    <w:pPr>
      <w:ind w:left="22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49"/>
      <w:ind w:left="220"/>
    </w:pPr>
    <w:rPr>
      <w:sz w:val="21"/>
      <w:szCs w:val="21"/>
    </w:rPr>
  </w:style>
  <w:style w:type="paragraph" w:styleId="TM2">
    <w:name w:val="toc 2"/>
    <w:basedOn w:val="Normal"/>
    <w:uiPriority w:val="1"/>
    <w:qFormat/>
    <w:pPr>
      <w:spacing w:before="152"/>
      <w:ind w:left="436"/>
    </w:pPr>
    <w:rPr>
      <w:sz w:val="21"/>
      <w:szCs w:val="21"/>
    </w:rPr>
  </w:style>
  <w:style w:type="paragraph" w:styleId="TM3">
    <w:name w:val="toc 3"/>
    <w:basedOn w:val="Normal"/>
    <w:uiPriority w:val="1"/>
    <w:qFormat/>
    <w:pPr>
      <w:spacing w:before="152"/>
      <w:ind w:left="664"/>
    </w:pPr>
    <w:rPr>
      <w:sz w:val="21"/>
      <w:szCs w:val="21"/>
    </w:rPr>
  </w:style>
  <w:style w:type="paragraph" w:styleId="Corpsdetexte">
    <w:name w:val="Body Text"/>
    <w:basedOn w:val="Normal"/>
    <w:uiPriority w:val="1"/>
    <w:qFormat/>
  </w:style>
  <w:style w:type="paragraph" w:styleId="Titre">
    <w:name w:val="Title"/>
    <w:basedOn w:val="Normal"/>
    <w:uiPriority w:val="10"/>
    <w:qFormat/>
    <w:pPr>
      <w:spacing w:before="22"/>
      <w:ind w:left="220"/>
    </w:pPr>
    <w:rPr>
      <w:rFonts w:ascii="Calibri Light" w:eastAsia="Calibri Light" w:hAnsi="Calibri Light" w:cs="Calibri Light"/>
      <w:sz w:val="39"/>
      <w:szCs w:val="39"/>
    </w:rPr>
  </w:style>
  <w:style w:type="paragraph" w:styleId="Paragraphedeliste">
    <w:name w:val="List Paragraph"/>
    <w:basedOn w:val="Normal"/>
    <w:uiPriority w:val="1"/>
    <w:qFormat/>
    <w:pPr>
      <w:ind w:left="1271" w:hanging="358"/>
    </w:pPr>
  </w:style>
  <w:style w:type="paragraph" w:customStyle="1" w:styleId="TableParagraph">
    <w:name w:val="Table Paragraph"/>
    <w:basedOn w:val="Normal"/>
    <w:uiPriority w:val="1"/>
    <w:qFormat/>
    <w:pPr>
      <w:spacing w:before="4"/>
      <w:ind w:left="827"/>
    </w:pPr>
  </w:style>
  <w:style w:type="paragraph" w:styleId="En-tte">
    <w:name w:val="header"/>
    <w:basedOn w:val="Normal"/>
    <w:link w:val="En-tteCar"/>
    <w:uiPriority w:val="99"/>
    <w:unhideWhenUsed/>
    <w:rsid w:val="009E26D4"/>
    <w:pPr>
      <w:tabs>
        <w:tab w:val="center" w:pos="4680"/>
        <w:tab w:val="right" w:pos="9360"/>
      </w:tabs>
    </w:pPr>
  </w:style>
  <w:style w:type="character" w:customStyle="1" w:styleId="En-tteCar">
    <w:name w:val="En-tête Car"/>
    <w:basedOn w:val="Policepardfaut"/>
    <w:link w:val="En-tte"/>
    <w:uiPriority w:val="99"/>
    <w:rsid w:val="009E26D4"/>
    <w:rPr>
      <w:rFonts w:ascii="Calibri" w:eastAsia="Calibri" w:hAnsi="Calibri" w:cs="Calibri"/>
    </w:rPr>
  </w:style>
  <w:style w:type="paragraph" w:styleId="Pieddepage">
    <w:name w:val="footer"/>
    <w:basedOn w:val="Normal"/>
    <w:link w:val="PieddepageCar"/>
    <w:uiPriority w:val="99"/>
    <w:unhideWhenUsed/>
    <w:rsid w:val="009E26D4"/>
    <w:pPr>
      <w:tabs>
        <w:tab w:val="center" w:pos="4680"/>
        <w:tab w:val="right" w:pos="9360"/>
      </w:tabs>
    </w:pPr>
  </w:style>
  <w:style w:type="character" w:customStyle="1" w:styleId="PieddepageCar">
    <w:name w:val="Pied de page Car"/>
    <w:basedOn w:val="Policepardfaut"/>
    <w:link w:val="Pieddepage"/>
    <w:uiPriority w:val="99"/>
    <w:rsid w:val="009E26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c-innovation.ca/wp-content/uploads/2023/01/Reimbursement-Template-DCC-Demo-Blank.xls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oc-innovation.ca/wp-content/uploads/2023/02/General_Bilateral_Funding_Agreement.docx" TargetMode="External"/><Relationship Id="rId17" Type="http://schemas.openxmlformats.org/officeDocument/2006/relationships/hyperlink" Target="mailto:vsadr@oc-innovation.ca" TargetMode="External"/><Relationship Id="rId2" Type="http://schemas.openxmlformats.org/officeDocument/2006/relationships/styles" Target="styles.xml"/><Relationship Id="rId16" Type="http://schemas.openxmlformats.org/officeDocument/2006/relationships/hyperlink" Target="mailto:CRitchie@oc-innovation.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innovation.ca/wp-content/uploads/2023/06/PMAN-les-depenses-admissibles_FR-Laura-Clark.pdf"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www.oc-innovation.ca%2Fwp-content%2Fuploads%2F2023%2F03%2FCCN-DEMO-Modele-de-lettre-dappui-FR.docx&amp;wdOrigin=BROWSELINK" TargetMode="External"/><Relationship Id="rId10" Type="http://schemas.openxmlformats.org/officeDocument/2006/relationships/hyperlink" Target="https://oce.formstack.com/forms/intake_fo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c-innovation.ca/about/oci-team/business-development-and-commercialization-contacts/" TargetMode="External"/><Relationship Id="rId14" Type="http://schemas.openxmlformats.org/officeDocument/2006/relationships/hyperlink" Target="https://www.oc-innovation.ca/wp-content/uploads/2023/01/DCC_Demo_Proposal-Template_final.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2818</Words>
  <Characters>16066</Characters>
  <Application>Microsoft Office Word</Application>
  <DocSecurity>0</DocSecurity>
  <Lines>133</Lines>
  <Paragraphs>37</Paragraphs>
  <ScaleCrop>false</ScaleCrop>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Quines</dc:creator>
  <cp:lastModifiedBy>Isabelle Lagacé</cp:lastModifiedBy>
  <cp:revision>24</cp:revision>
  <dcterms:created xsi:type="dcterms:W3CDTF">2024-02-02T03:18:00Z</dcterms:created>
  <dcterms:modified xsi:type="dcterms:W3CDTF">2024-02-05T16:52:00Z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for Microsoft 365</vt:lpwstr>
  </property>
  <property fmtid="{D5CDD505-2E9C-101B-9397-08002B2CF9AE}" pid="4" name="LastSaved">
    <vt:filetime>2024-02-02T00:00:00Z</vt:filetime>
  </property>
</Properties>
</file>