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C28B" w14:textId="77777777" w:rsidR="00F624F6" w:rsidRDefault="00F624F6">
      <w:pPr>
        <w:rPr>
          <w:rFonts w:ascii="Times New Roman" w:eastAsia="Times New Roman" w:hAnsi="Times New Roman" w:cs="Times New Roman"/>
          <w:sz w:val="20"/>
          <w:szCs w:val="20"/>
        </w:rPr>
      </w:pPr>
    </w:p>
    <w:p w14:paraId="0712C28C" w14:textId="77777777" w:rsidR="00F624F6" w:rsidRDefault="00F624F6">
      <w:pPr>
        <w:rPr>
          <w:rFonts w:ascii="Times New Roman" w:eastAsia="Times New Roman" w:hAnsi="Times New Roman" w:cs="Times New Roman"/>
          <w:sz w:val="20"/>
          <w:szCs w:val="20"/>
        </w:rPr>
      </w:pPr>
    </w:p>
    <w:p w14:paraId="0712C28D" w14:textId="48DF152F" w:rsidR="00F624F6" w:rsidRDefault="00F12F56">
      <w:pPr>
        <w:spacing w:before="181"/>
        <w:ind w:left="100"/>
        <w:rPr>
          <w:rFonts w:ascii="Calibri" w:eastAsia="Calibri" w:hAnsi="Calibri" w:cs="Calibri"/>
          <w:sz w:val="40"/>
          <w:szCs w:val="40"/>
        </w:rPr>
      </w:pPr>
      <w:r>
        <w:rPr>
          <w:rFonts w:ascii="Calibri"/>
          <w:b/>
          <w:color w:val="1F5668"/>
          <w:sz w:val="40"/>
        </w:rPr>
        <w:t>Plan de modernisation et d’adoption du numérique (PMAN) du CCN</w:t>
      </w:r>
    </w:p>
    <w:p w14:paraId="0712C28E" w14:textId="77777777" w:rsidR="00F624F6" w:rsidRDefault="00500D9A">
      <w:pPr>
        <w:pStyle w:val="Heading2"/>
        <w:spacing w:before="162"/>
        <w:rPr>
          <w:b w:val="0"/>
          <w:bCs w:val="0"/>
        </w:rPr>
      </w:pPr>
      <w:bookmarkStart w:id="0" w:name="Eligible_Use_of_Funds:"/>
      <w:bookmarkEnd w:id="0"/>
      <w:r>
        <w:t>Utilisation admissible des fonds :</w:t>
      </w:r>
    </w:p>
    <w:p w14:paraId="0712C28F" w14:textId="35E34F4B" w:rsidR="00F624F6" w:rsidRDefault="00500D9A">
      <w:pPr>
        <w:pStyle w:val="BodyText"/>
        <w:spacing w:before="1"/>
        <w:ind w:left="205" w:right="459" w:firstLine="0"/>
      </w:pPr>
      <w:r>
        <w:t>Les dépenses admissibles comprennent les coûts et les activités directement liés à la réalisation des objectifs pour lesquels le financement du CIO a été accordé. Toutes les activités d’approvisionnement doivent se conformer à la</w:t>
      </w:r>
      <w:r>
        <w:rPr>
          <w:color w:val="5D859F"/>
        </w:rPr>
        <w:t xml:space="preserve"> </w:t>
      </w:r>
      <w:hyperlink r:id="rId8">
        <w:r>
          <w:rPr>
            <w:color w:val="5D859F"/>
            <w:u w:val="single" w:color="5D859F"/>
          </w:rPr>
          <w:t xml:space="preserve">Loi de 2010 sur la responsabilisation du secteur parapublic </w:t>
        </w:r>
      </w:hyperlink>
      <w:r>
        <w:t>.</w:t>
      </w:r>
    </w:p>
    <w:p w14:paraId="0712C290" w14:textId="77777777" w:rsidR="00F624F6" w:rsidRDefault="00F624F6">
      <w:pPr>
        <w:spacing w:before="12"/>
        <w:rPr>
          <w:rFonts w:ascii="Calibri" w:eastAsia="Calibri" w:hAnsi="Calibri" w:cs="Calibri"/>
          <w:sz w:val="13"/>
          <w:szCs w:val="13"/>
        </w:rPr>
      </w:pPr>
    </w:p>
    <w:p w14:paraId="0712C291" w14:textId="77777777" w:rsidR="00F624F6" w:rsidRDefault="00500D9A">
      <w:pPr>
        <w:pStyle w:val="Heading2"/>
        <w:spacing w:before="65"/>
        <w:rPr>
          <w:b w:val="0"/>
          <w:bCs w:val="0"/>
        </w:rPr>
      </w:pPr>
      <w:bookmarkStart w:id="1" w:name="Eligible_Expenses:"/>
      <w:bookmarkEnd w:id="1"/>
      <w:r>
        <w:t>Dépenses admissibles :</w:t>
      </w:r>
    </w:p>
    <w:p w14:paraId="0712C293" w14:textId="778AF4CA" w:rsidR="00F624F6" w:rsidRPr="00754ED7" w:rsidRDefault="00500D9A" w:rsidP="00754ED7">
      <w:pPr>
        <w:pStyle w:val="BodyText"/>
        <w:numPr>
          <w:ilvl w:val="0"/>
          <w:numId w:val="4"/>
        </w:numPr>
        <w:tabs>
          <w:tab w:val="left" w:pos="721"/>
        </w:tabs>
        <w:spacing w:before="1"/>
        <w:ind w:right="459"/>
      </w:pPr>
      <w:r>
        <w:t>Coûts réels liés aux consultants (ou sous-traitants) en adoption du numérique sont nécessaires et directement attribuables à la réalisation du projet et qui ne sont pas entièrement ou partiellement destinés à un autre but. Les coûts admissibles sont des dépenses réelles en argent qui doivent être documentées au moyen de factures et de preuves de paiement. Ces coûts peuvent faire l’objet d’une vérification par un auditeur indépendant.</w:t>
      </w:r>
    </w:p>
    <w:p w14:paraId="617FB208" w14:textId="77777777" w:rsidR="00754ED7" w:rsidRDefault="00754ED7" w:rsidP="00754ED7">
      <w:pPr>
        <w:pStyle w:val="BodyText"/>
        <w:tabs>
          <w:tab w:val="left" w:pos="721"/>
        </w:tabs>
        <w:spacing w:before="1"/>
        <w:ind w:left="720" w:right="459" w:firstLine="0"/>
      </w:pPr>
    </w:p>
    <w:p w14:paraId="0712C294" w14:textId="65F1BF22" w:rsidR="00F624F6" w:rsidRPr="00A625D2" w:rsidRDefault="00500D9A">
      <w:pPr>
        <w:pStyle w:val="BodyText"/>
        <w:spacing w:before="1"/>
        <w:ind w:left="205" w:firstLine="0"/>
        <w:rPr>
          <w:strike/>
        </w:rPr>
      </w:pPr>
      <w:r>
        <w:t>Les preuves de paiement doivent être conservées aux fins d’audit. Les coûts engagés ailleurs qu’en Ontario ne sont pas admissibles.</w:t>
      </w:r>
    </w:p>
    <w:p w14:paraId="0712C295" w14:textId="77777777" w:rsidR="00F624F6" w:rsidRDefault="00F624F6">
      <w:pPr>
        <w:spacing w:before="5"/>
        <w:rPr>
          <w:rFonts w:ascii="Calibri" w:eastAsia="Calibri" w:hAnsi="Calibri" w:cs="Calibri"/>
          <w:sz w:val="21"/>
          <w:szCs w:val="21"/>
        </w:rPr>
      </w:pPr>
    </w:p>
    <w:p w14:paraId="0712C296" w14:textId="77777777" w:rsidR="00F624F6" w:rsidRDefault="00500D9A">
      <w:pPr>
        <w:pStyle w:val="Heading2"/>
        <w:rPr>
          <w:b w:val="0"/>
          <w:bCs w:val="0"/>
        </w:rPr>
      </w:pPr>
      <w:bookmarkStart w:id="2" w:name="Retroactive_Expenses:"/>
      <w:bookmarkEnd w:id="2"/>
      <w:r>
        <w:t>Dépenses rétroactives :</w:t>
      </w:r>
    </w:p>
    <w:p w14:paraId="0712C297" w14:textId="77777777" w:rsidR="00F624F6" w:rsidRDefault="00500D9A">
      <w:pPr>
        <w:pStyle w:val="BodyText"/>
        <w:spacing w:before="1"/>
        <w:ind w:left="205" w:firstLine="0"/>
      </w:pPr>
      <w:r>
        <w:t>Le CIO reconnaîtra les dépenses après la date d’approbation. Jusqu’à l’approbation de la demande et le démarrage du programme, toute dépense du demandeur est à ses propres risques.</w:t>
      </w:r>
    </w:p>
    <w:p w14:paraId="0712C298" w14:textId="77777777" w:rsidR="00F624F6" w:rsidRDefault="00F624F6">
      <w:pPr>
        <w:spacing w:before="4"/>
        <w:rPr>
          <w:rFonts w:ascii="Calibri" w:eastAsia="Calibri" w:hAnsi="Calibri" w:cs="Calibri"/>
          <w:sz w:val="19"/>
          <w:szCs w:val="19"/>
        </w:rPr>
      </w:pPr>
    </w:p>
    <w:p w14:paraId="11DA1BDD" w14:textId="77777777" w:rsidR="00AB5D15" w:rsidRDefault="00AB5D15">
      <w:pPr>
        <w:pStyle w:val="Heading2"/>
      </w:pPr>
      <w:bookmarkStart w:id="3" w:name="Institutional_Overhead:"/>
      <w:bookmarkStart w:id="4" w:name="Public_leverage_of_OVIN_contribution:"/>
      <w:bookmarkStart w:id="5" w:name="Notes:"/>
      <w:bookmarkEnd w:id="3"/>
      <w:bookmarkEnd w:id="4"/>
      <w:bookmarkEnd w:id="5"/>
    </w:p>
    <w:p w14:paraId="0712C2AA" w14:textId="77777777" w:rsidR="00F624F6" w:rsidRDefault="00500D9A">
      <w:pPr>
        <w:pStyle w:val="Heading2"/>
        <w:rPr>
          <w:b w:val="0"/>
          <w:bCs w:val="0"/>
        </w:rPr>
      </w:pPr>
      <w:r>
        <w:t>Remarque :</w:t>
      </w:r>
    </w:p>
    <w:p w14:paraId="0712C2AE" w14:textId="15E825DE" w:rsidR="00F624F6" w:rsidRDefault="00500D9A" w:rsidP="00825584">
      <w:pPr>
        <w:pStyle w:val="BodyText"/>
        <w:spacing w:before="161"/>
        <w:ind w:left="205" w:firstLine="0"/>
      </w:pPr>
      <w:r>
        <w:rPr>
          <w:b/>
        </w:rPr>
        <w:t xml:space="preserve">Les PCGR </w:t>
      </w:r>
      <w:r>
        <w:t>sont un ensemble de règles et de normes comptables couramment appliquées pour la communication de l’information financière. Les PCGR visent à assurer une communication transparente</w:t>
      </w:r>
      <w:r w:rsidR="00825584">
        <w:t xml:space="preserve"> </w:t>
      </w:r>
      <w:r>
        <w:t>et uniforme de l’information financière, d’une organisation à l’autre.</w:t>
      </w:r>
    </w:p>
    <w:p w14:paraId="0712C2D6" w14:textId="77777777" w:rsidR="00F624F6" w:rsidRDefault="00F624F6">
      <w:pPr>
        <w:rPr>
          <w:rFonts w:ascii="Calibri" w:eastAsia="Calibri" w:hAnsi="Calibri" w:cs="Calibri"/>
          <w:b/>
          <w:bCs/>
          <w:sz w:val="20"/>
          <w:szCs w:val="20"/>
        </w:rPr>
      </w:pPr>
      <w:bookmarkStart w:id="6" w:name="Travel_outside_of_the_province_of_Ontari"/>
      <w:bookmarkEnd w:id="6"/>
    </w:p>
    <w:p w14:paraId="0712C2D7" w14:textId="77777777" w:rsidR="00F624F6" w:rsidRDefault="00F624F6">
      <w:pPr>
        <w:rPr>
          <w:rFonts w:ascii="Calibri" w:eastAsia="Calibri" w:hAnsi="Calibri" w:cs="Calibri"/>
          <w:b/>
          <w:bCs/>
          <w:sz w:val="20"/>
          <w:szCs w:val="20"/>
        </w:rPr>
      </w:pPr>
    </w:p>
    <w:p w14:paraId="67EACD2B" w14:textId="77777777" w:rsidR="00B80A73" w:rsidRDefault="00B80A73">
      <w:pPr>
        <w:rPr>
          <w:rFonts w:ascii="Calibri" w:eastAsia="Calibri" w:hAnsi="Calibri" w:cs="Calibri"/>
          <w:b/>
          <w:bCs/>
          <w:sz w:val="20"/>
          <w:szCs w:val="20"/>
        </w:rPr>
      </w:pPr>
    </w:p>
    <w:p w14:paraId="371B394F" w14:textId="77777777" w:rsidR="00B80A73" w:rsidRDefault="00B80A73">
      <w:pPr>
        <w:rPr>
          <w:rFonts w:ascii="Calibri" w:eastAsia="Calibri" w:hAnsi="Calibri" w:cs="Calibri"/>
          <w:b/>
          <w:bCs/>
          <w:sz w:val="20"/>
          <w:szCs w:val="20"/>
        </w:rPr>
      </w:pPr>
    </w:p>
    <w:p w14:paraId="0077BEC7" w14:textId="77777777" w:rsidR="00B80A73" w:rsidRDefault="00B80A73">
      <w:pPr>
        <w:rPr>
          <w:rFonts w:ascii="Calibri" w:eastAsia="Calibri" w:hAnsi="Calibri" w:cs="Calibri"/>
          <w:b/>
          <w:bCs/>
          <w:sz w:val="20"/>
          <w:szCs w:val="20"/>
        </w:rPr>
      </w:pPr>
    </w:p>
    <w:p w14:paraId="4E493166" w14:textId="77777777" w:rsidR="00B80A73" w:rsidRDefault="00B80A73">
      <w:pPr>
        <w:rPr>
          <w:rFonts w:ascii="Calibri" w:eastAsia="Calibri" w:hAnsi="Calibri" w:cs="Calibri"/>
          <w:b/>
          <w:bCs/>
          <w:sz w:val="20"/>
          <w:szCs w:val="20"/>
        </w:rPr>
      </w:pPr>
    </w:p>
    <w:p w14:paraId="3036500E" w14:textId="77777777" w:rsidR="00B80A73" w:rsidRDefault="00B80A73">
      <w:pPr>
        <w:rPr>
          <w:rFonts w:ascii="Calibri" w:eastAsia="Calibri" w:hAnsi="Calibri" w:cs="Calibri"/>
          <w:b/>
          <w:bCs/>
          <w:sz w:val="20"/>
          <w:szCs w:val="20"/>
        </w:rPr>
      </w:pPr>
    </w:p>
    <w:p w14:paraId="4870701A" w14:textId="77777777" w:rsidR="00B80A73" w:rsidRDefault="00B80A73">
      <w:pPr>
        <w:rPr>
          <w:rFonts w:ascii="Calibri" w:eastAsia="Calibri" w:hAnsi="Calibri" w:cs="Calibri"/>
          <w:b/>
          <w:bCs/>
          <w:sz w:val="20"/>
          <w:szCs w:val="20"/>
        </w:rPr>
      </w:pPr>
    </w:p>
    <w:p w14:paraId="5E991F89" w14:textId="77777777" w:rsidR="00B80A73" w:rsidRDefault="00B80A73">
      <w:pPr>
        <w:rPr>
          <w:rFonts w:ascii="Calibri" w:eastAsia="Calibri" w:hAnsi="Calibri" w:cs="Calibri"/>
          <w:b/>
          <w:bCs/>
          <w:sz w:val="20"/>
          <w:szCs w:val="20"/>
        </w:rPr>
      </w:pPr>
    </w:p>
    <w:p w14:paraId="611F5FCE" w14:textId="77777777" w:rsidR="00B80A73" w:rsidRDefault="00B80A73">
      <w:pPr>
        <w:rPr>
          <w:rFonts w:ascii="Calibri" w:eastAsia="Calibri" w:hAnsi="Calibri" w:cs="Calibri"/>
          <w:b/>
          <w:bCs/>
          <w:sz w:val="20"/>
          <w:szCs w:val="20"/>
        </w:rPr>
      </w:pPr>
    </w:p>
    <w:p w14:paraId="42FAAF12" w14:textId="77777777" w:rsidR="00B80A73" w:rsidRDefault="00B80A73">
      <w:pPr>
        <w:rPr>
          <w:rFonts w:ascii="Calibri" w:eastAsia="Calibri" w:hAnsi="Calibri" w:cs="Calibri"/>
          <w:b/>
          <w:bCs/>
          <w:sz w:val="20"/>
          <w:szCs w:val="20"/>
        </w:rPr>
      </w:pPr>
    </w:p>
    <w:p w14:paraId="7B27CB8B" w14:textId="77777777" w:rsidR="00B80A73" w:rsidRDefault="00B80A73">
      <w:pPr>
        <w:rPr>
          <w:rFonts w:ascii="Calibri" w:eastAsia="Calibri" w:hAnsi="Calibri" w:cs="Calibri"/>
          <w:b/>
          <w:bCs/>
          <w:sz w:val="20"/>
          <w:szCs w:val="20"/>
        </w:rPr>
      </w:pPr>
    </w:p>
    <w:p w14:paraId="02801D5E" w14:textId="77777777" w:rsidR="00B80A73" w:rsidRDefault="00B80A73">
      <w:pPr>
        <w:rPr>
          <w:rFonts w:ascii="Calibri" w:eastAsia="Calibri" w:hAnsi="Calibri" w:cs="Calibri"/>
          <w:b/>
          <w:bCs/>
          <w:sz w:val="20"/>
          <w:szCs w:val="20"/>
        </w:rPr>
      </w:pPr>
    </w:p>
    <w:p w14:paraId="1B70C46A" w14:textId="77777777" w:rsidR="00B80A73" w:rsidRDefault="00B80A73">
      <w:pPr>
        <w:rPr>
          <w:rFonts w:ascii="Calibri" w:eastAsia="Calibri" w:hAnsi="Calibri" w:cs="Calibri"/>
          <w:b/>
          <w:bCs/>
          <w:sz w:val="20"/>
          <w:szCs w:val="20"/>
        </w:rPr>
      </w:pPr>
    </w:p>
    <w:p w14:paraId="3F1D8E23" w14:textId="77777777" w:rsidR="00B80A73" w:rsidRDefault="00B80A73">
      <w:pPr>
        <w:rPr>
          <w:rFonts w:ascii="Calibri" w:eastAsia="Calibri" w:hAnsi="Calibri" w:cs="Calibri"/>
          <w:b/>
          <w:bCs/>
          <w:sz w:val="20"/>
          <w:szCs w:val="20"/>
        </w:rPr>
      </w:pPr>
    </w:p>
    <w:p w14:paraId="333A73A7" w14:textId="77777777" w:rsidR="009B3760" w:rsidRDefault="009B3760">
      <w:pPr>
        <w:rPr>
          <w:rFonts w:ascii="Calibri" w:eastAsia="Calibri" w:hAnsi="Calibri" w:cs="Calibri"/>
          <w:b/>
          <w:bCs/>
          <w:sz w:val="20"/>
          <w:szCs w:val="20"/>
        </w:rPr>
      </w:pPr>
    </w:p>
    <w:p w14:paraId="6FCE4C18" w14:textId="77777777" w:rsidR="00B80A73" w:rsidRDefault="00B80A73">
      <w:pPr>
        <w:rPr>
          <w:rFonts w:ascii="Calibri" w:eastAsia="Calibri" w:hAnsi="Calibri" w:cs="Calibri"/>
          <w:b/>
          <w:bCs/>
          <w:sz w:val="20"/>
          <w:szCs w:val="20"/>
        </w:rPr>
      </w:pPr>
    </w:p>
    <w:p w14:paraId="0712C2D8" w14:textId="0A3597A2" w:rsidR="00F624F6" w:rsidRDefault="00C504D3" w:rsidP="00EA212E">
      <w:pPr>
        <w:pStyle w:val="Heading1"/>
        <w:spacing w:before="212"/>
        <w:ind w:left="4860" w:right="4920"/>
        <w:jc w:val="center"/>
        <w:rPr>
          <w:b w:val="0"/>
          <w:bCs w:val="0"/>
        </w:rPr>
      </w:pPr>
      <w:r>
        <w:rPr>
          <w:noProof/>
        </w:rPr>
        <w:lastRenderedPageBreak/>
        <mc:AlternateContent>
          <mc:Choice Requires="wpg">
            <w:drawing>
              <wp:anchor distT="0" distB="0" distL="114300" distR="114300" simplePos="0" relativeHeight="251658240" behindDoc="1" locked="0" layoutInCell="1" allowOverlap="1" wp14:anchorId="0712C302" wp14:editId="209B8B24">
                <wp:simplePos x="0" y="0"/>
                <wp:positionH relativeFrom="page">
                  <wp:posOffset>879475</wp:posOffset>
                </wp:positionH>
                <wp:positionV relativeFrom="paragraph">
                  <wp:posOffset>1068070</wp:posOffset>
                </wp:positionV>
                <wp:extent cx="1151255" cy="1270"/>
                <wp:effectExtent l="3175" t="8890" r="762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270"/>
                          <a:chOff x="1385" y="1682"/>
                          <a:chExt cx="1813" cy="2"/>
                        </a:xfrm>
                      </wpg:grpSpPr>
                      <wps:wsp>
                        <wps:cNvPr id="7" name="Freeform 3"/>
                        <wps:cNvSpPr>
                          <a:spLocks/>
                        </wps:cNvSpPr>
                        <wps:spPr bwMode="auto">
                          <a:xfrm>
                            <a:off x="1385" y="1682"/>
                            <a:ext cx="1813" cy="2"/>
                          </a:xfrm>
                          <a:custGeom>
                            <a:avLst/>
                            <a:gdLst>
                              <a:gd name="T0" fmla="+- 0 1385 1385"/>
                              <a:gd name="T1" fmla="*/ T0 w 1813"/>
                              <a:gd name="T2" fmla="+- 0 3198 1385"/>
                              <a:gd name="T3" fmla="*/ T2 w 1813"/>
                            </a:gdLst>
                            <a:ahLst/>
                            <a:cxnLst>
                              <a:cxn ang="0">
                                <a:pos x="T1" y="0"/>
                              </a:cxn>
                              <a:cxn ang="0">
                                <a:pos x="T3" y="0"/>
                              </a:cxn>
                            </a:cxnLst>
                            <a:rect l="0" t="0" r="r" b="b"/>
                            <a:pathLst>
                              <a:path w="1813">
                                <a:moveTo>
                                  <a:pt x="0" y="0"/>
                                </a:moveTo>
                                <a:lnTo>
                                  <a:pt x="1813" y="0"/>
                                </a:lnTo>
                              </a:path>
                            </a:pathLst>
                          </a:custGeom>
                          <a:noFill/>
                          <a:ln w="8890">
                            <a:solidFill>
                              <a:srgbClr val="5D85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42D05" id="Group 2" o:spid="_x0000_s1026" style="position:absolute;margin-left:69.25pt;margin-top:84.1pt;width:90.65pt;height:.1pt;z-index:-251658240;mso-position-horizontal-relative:page" coordorigin="1385,1682" coordsize="1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">
                <v:shape id="Freeform 3" o:spid="_x0000_s1027" style="position:absolute;left:1385;top:1682;width:1813;height:2;visibility:visible;mso-wrap-style:square;v-text-anchor:top" coordsize="1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" path="m,l1813,e" filled="f" strokecolor="#5d859f" strokeweight=".7pt">
                  <v:path arrowok="t" o:connecttype="custom" o:connectlocs="0,0;1813,0" o:connectangles="0,0"/>
                </v:shape>
                <w10:wrap anchorx="page"/>
              </v:group>
            </w:pict>
          </mc:Fallback>
        </mc:AlternateContent>
      </w:r>
      <w:bookmarkStart w:id="7" w:name="OPERATING_EXPENSES:"/>
      <w:bookmarkEnd w:id="7"/>
      <w:r>
        <w:t>DÉPENSES D'EXPLOITATION</w:t>
      </w:r>
    </w:p>
    <w:p w14:paraId="0712C2D9" w14:textId="77777777" w:rsidR="00F624F6" w:rsidRDefault="00F624F6">
      <w:pPr>
        <w:spacing w:before="8"/>
        <w:rPr>
          <w:rFonts w:ascii="Calibri" w:eastAsia="Calibri" w:hAnsi="Calibri" w:cs="Calibri"/>
          <w:b/>
          <w:bCs/>
          <w:sz w:val="10"/>
          <w:szCs w:val="10"/>
        </w:rPr>
      </w:pPr>
    </w:p>
    <w:tbl>
      <w:tblPr>
        <w:tblW w:w="0" w:type="auto"/>
        <w:tblInd w:w="229" w:type="dxa"/>
        <w:tblLayout w:type="fixed"/>
        <w:tblCellMar>
          <w:left w:w="0" w:type="dxa"/>
          <w:right w:w="0" w:type="dxa"/>
        </w:tblCellMar>
        <w:tblLook w:val="01E0" w:firstRow="1" w:lastRow="1" w:firstColumn="1" w:lastColumn="1" w:noHBand="0" w:noVBand="0"/>
      </w:tblPr>
      <w:tblGrid>
        <w:gridCol w:w="6992"/>
        <w:gridCol w:w="7037"/>
      </w:tblGrid>
      <w:tr w:rsidR="00F624F6" w14:paraId="0712C2DC" w14:textId="77777777">
        <w:trPr>
          <w:trHeight w:hRule="exact" w:val="261"/>
        </w:trPr>
        <w:tc>
          <w:tcPr>
            <w:tcW w:w="6992" w:type="dxa"/>
            <w:tcBorders>
              <w:top w:val="single" w:sz="5" w:space="0" w:color="E14E35"/>
              <w:left w:val="single" w:sz="5" w:space="0" w:color="E14E35"/>
              <w:bottom w:val="single" w:sz="0" w:space="0" w:color="E14E35"/>
              <w:right w:val="single" w:sz="5" w:space="0" w:color="E14E35"/>
            </w:tcBorders>
          </w:tcPr>
          <w:p w14:paraId="0712C2DA" w14:textId="77777777" w:rsidR="00F624F6" w:rsidRDefault="00500D9A">
            <w:pPr>
              <w:pStyle w:val="TableParagraph"/>
              <w:spacing w:line="243" w:lineRule="exact"/>
              <w:ind w:left="103"/>
              <w:rPr>
                <w:rFonts w:ascii="Calibri" w:eastAsia="Calibri" w:hAnsi="Calibri" w:cs="Calibri"/>
                <w:sz w:val="20"/>
                <w:szCs w:val="20"/>
              </w:rPr>
            </w:pPr>
            <w:r>
              <w:rPr>
                <w:rFonts w:ascii="Calibri"/>
                <w:b/>
                <w:sz w:val="20"/>
              </w:rPr>
              <w:t>Dépenses admissibles</w:t>
            </w:r>
          </w:p>
        </w:tc>
        <w:tc>
          <w:tcPr>
            <w:tcW w:w="7037" w:type="dxa"/>
            <w:tcBorders>
              <w:top w:val="single" w:sz="5" w:space="0" w:color="E14E35"/>
              <w:left w:val="single" w:sz="5" w:space="0" w:color="E14E35"/>
              <w:bottom w:val="single" w:sz="3" w:space="0" w:color="E14E35"/>
              <w:right w:val="nil"/>
            </w:tcBorders>
            <w:shd w:val="clear" w:color="auto" w:fill="E14E35"/>
          </w:tcPr>
          <w:p w14:paraId="0712C2DB" w14:textId="77777777" w:rsidR="00F624F6" w:rsidRDefault="00500D9A">
            <w:pPr>
              <w:pStyle w:val="TableParagraph"/>
              <w:spacing w:line="243" w:lineRule="exact"/>
              <w:ind w:left="103"/>
              <w:rPr>
                <w:rFonts w:ascii="Calibri" w:eastAsia="Calibri" w:hAnsi="Calibri" w:cs="Calibri"/>
                <w:sz w:val="20"/>
                <w:szCs w:val="20"/>
              </w:rPr>
            </w:pPr>
            <w:r>
              <w:rPr>
                <w:rFonts w:ascii="Calibri"/>
                <w:b/>
                <w:color w:val="FFFFFF"/>
                <w:sz w:val="20"/>
              </w:rPr>
              <w:t>Dépenses non admissibles</w:t>
            </w:r>
          </w:p>
        </w:tc>
      </w:tr>
      <w:tr w:rsidR="00F624F6" w14:paraId="0712C301" w14:textId="77777777" w:rsidTr="00825584">
        <w:trPr>
          <w:trHeight w:hRule="exact" w:val="7053"/>
        </w:trPr>
        <w:tc>
          <w:tcPr>
            <w:tcW w:w="6992" w:type="dxa"/>
            <w:tcBorders>
              <w:top w:val="single" w:sz="0" w:space="0" w:color="E14E35"/>
              <w:left w:val="single" w:sz="5" w:space="0" w:color="E14E35"/>
              <w:bottom w:val="single" w:sz="5" w:space="0" w:color="E14E35"/>
              <w:right w:val="single" w:sz="5" w:space="0" w:color="E14E35"/>
            </w:tcBorders>
          </w:tcPr>
          <w:p w14:paraId="317112EC" w14:textId="77777777" w:rsidR="008E116E" w:rsidRDefault="008E116E" w:rsidP="008E116E">
            <w:pPr>
              <w:pStyle w:val="Default"/>
              <w:rPr>
                <w:color w:val="auto"/>
              </w:rPr>
            </w:pPr>
          </w:p>
          <w:p w14:paraId="55013A91" w14:textId="77777777" w:rsidR="008F180A" w:rsidRPr="008F180A" w:rsidRDefault="00B541FD">
            <w:pPr>
              <w:pStyle w:val="ListParagraph"/>
              <w:numPr>
                <w:ilvl w:val="0"/>
                <w:numId w:val="1"/>
              </w:numPr>
              <w:tabs>
                <w:tab w:val="left" w:pos="464"/>
              </w:tabs>
              <w:spacing w:line="324" w:lineRule="exact"/>
              <w:rPr>
                <w:rFonts w:ascii="Calibri" w:eastAsia="Calibri" w:hAnsi="Calibri" w:cs="Calibri"/>
                <w:sz w:val="20"/>
                <w:szCs w:val="20"/>
              </w:rPr>
            </w:pPr>
            <w:r>
              <w:rPr>
                <w:rFonts w:ascii="Calibri"/>
                <w:sz w:val="20"/>
              </w:rPr>
              <w:t>Les coûts du projet PMAN relatifs à l’élaboration ou à l'amélioration d’un plan de modernisation et d’adoption du numérique :</w:t>
            </w:r>
          </w:p>
          <w:p w14:paraId="37AAA244" w14:textId="1C3F046A" w:rsidR="00290EF1" w:rsidRPr="00290EF1" w:rsidRDefault="00290EF1" w:rsidP="00574FE7">
            <w:pPr>
              <w:pStyle w:val="ListParagraph"/>
              <w:numPr>
                <w:ilvl w:val="0"/>
                <w:numId w:val="6"/>
              </w:numPr>
              <w:tabs>
                <w:tab w:val="left" w:pos="1036"/>
              </w:tabs>
              <w:spacing w:before="1" w:line="235" w:lineRule="auto"/>
              <w:ind w:left="1036" w:right="947" w:hanging="283"/>
              <w:rPr>
                <w:rFonts w:ascii="Calibri" w:eastAsia="Calibri" w:hAnsi="Calibri" w:cs="Calibri"/>
                <w:sz w:val="20"/>
                <w:szCs w:val="20"/>
              </w:rPr>
            </w:pPr>
            <w:r>
              <w:rPr>
                <w:rFonts w:ascii="Calibri"/>
                <w:sz w:val="20"/>
              </w:rPr>
              <w:t>Honoraires de sous-traitants et de consultants en adoption, s’ils</w:t>
            </w:r>
            <w:r w:rsidR="000E53B5">
              <w:rPr>
                <w:rFonts w:ascii="Calibri"/>
                <w:sz w:val="20"/>
              </w:rPr>
              <w:t xml:space="preserve"> répondent </w:t>
            </w:r>
            <w:r w:rsidR="00AE7A3B">
              <w:rPr>
                <w:rFonts w:ascii="Calibri"/>
                <w:sz w:val="20"/>
              </w:rPr>
              <w:t>à tous les</w:t>
            </w:r>
            <w:r w:rsidR="000E53B5">
              <w:rPr>
                <w:rFonts w:ascii="Calibri"/>
                <w:sz w:val="20"/>
              </w:rPr>
              <w:t xml:space="preserve"> critères suivants :</w:t>
            </w:r>
          </w:p>
          <w:p w14:paraId="2F2591ED" w14:textId="0420898F" w:rsidR="00EC38B6" w:rsidRPr="00EC38B6" w:rsidRDefault="000E53B5" w:rsidP="002F1823">
            <w:pPr>
              <w:pStyle w:val="ListParagraph"/>
              <w:numPr>
                <w:ilvl w:val="1"/>
                <w:numId w:val="6"/>
              </w:numPr>
              <w:tabs>
                <w:tab w:val="left" w:pos="1036"/>
              </w:tabs>
              <w:spacing w:before="1" w:line="235" w:lineRule="auto"/>
              <w:ind w:right="947"/>
              <w:rPr>
                <w:rFonts w:ascii="Calibri" w:eastAsia="Calibri" w:hAnsi="Calibri" w:cs="Calibri"/>
                <w:sz w:val="20"/>
                <w:szCs w:val="20"/>
              </w:rPr>
            </w:pPr>
            <w:r>
              <w:rPr>
                <w:rFonts w:ascii="Calibri"/>
                <w:sz w:val="20"/>
              </w:rPr>
              <w:t xml:space="preserve">Ils </w:t>
            </w:r>
            <w:r w:rsidR="00500D9A">
              <w:rPr>
                <w:rFonts w:ascii="Calibri"/>
                <w:sz w:val="20"/>
              </w:rPr>
              <w:t>sont approuvés par la direction du CIO avant le début du projet</w:t>
            </w:r>
            <w:r w:rsidR="00B20165">
              <w:rPr>
                <w:rFonts w:ascii="Calibri"/>
                <w:sz w:val="20"/>
              </w:rPr>
              <w:t>;</w:t>
            </w:r>
          </w:p>
          <w:p w14:paraId="0712C2DE" w14:textId="6F49F5DC" w:rsidR="00F624F6" w:rsidRPr="00EC38B6" w:rsidRDefault="00500D9A" w:rsidP="002F1823">
            <w:pPr>
              <w:pStyle w:val="ListParagraph"/>
              <w:numPr>
                <w:ilvl w:val="1"/>
                <w:numId w:val="6"/>
              </w:numPr>
              <w:tabs>
                <w:tab w:val="left" w:pos="1036"/>
              </w:tabs>
              <w:spacing w:before="1" w:line="235" w:lineRule="auto"/>
              <w:ind w:right="947"/>
              <w:rPr>
                <w:rFonts w:ascii="Calibri" w:eastAsia="Calibri" w:hAnsi="Calibri" w:cs="Calibri"/>
                <w:sz w:val="20"/>
                <w:szCs w:val="20"/>
              </w:rPr>
            </w:pPr>
            <w:r>
              <w:rPr>
                <w:rFonts w:ascii="Calibri"/>
                <w:sz w:val="20"/>
              </w:rPr>
              <w:t xml:space="preserve">leur achat est effectué conformément à la </w:t>
            </w:r>
            <w:hyperlink r:id="rId9">
              <w:r>
                <w:rPr>
                  <w:rFonts w:ascii="Calibri"/>
                  <w:color w:val="5D859F"/>
                  <w:sz w:val="20"/>
                  <w:u w:val="single" w:color="5D859F"/>
                </w:rPr>
                <w:t>Directive en matière d’approvisionnement dans le</w:t>
              </w:r>
              <w:r w:rsidR="00E22462">
                <w:rPr>
                  <w:rFonts w:ascii="Calibri"/>
                  <w:color w:val="5D859F"/>
                  <w:sz w:val="20"/>
                  <w:u w:val="single" w:color="5D859F"/>
                </w:rPr>
                <w:t xml:space="preserve"> SP</w:t>
              </w:r>
            </w:hyperlink>
            <w:hyperlink r:id="rId10"/>
            <w:r>
              <w:t xml:space="preserve"> </w:t>
            </w:r>
            <w:r w:rsidRPr="00E22462">
              <w:rPr>
                <w:rFonts w:ascii="Calibri"/>
                <w:sz w:val="20"/>
              </w:rPr>
              <w:t>en vertu de la LRSP</w:t>
            </w:r>
            <w:r w:rsidR="00B20165">
              <w:rPr>
                <w:rFonts w:ascii="Calibri"/>
                <w:sz w:val="20"/>
              </w:rPr>
              <w:t>;</w:t>
            </w:r>
          </w:p>
          <w:p w14:paraId="0F738284" w14:textId="0369DAA2" w:rsidR="00F624F6" w:rsidRPr="00B541FD" w:rsidRDefault="005217B8" w:rsidP="002F1823">
            <w:pPr>
              <w:pStyle w:val="ListParagraph"/>
              <w:numPr>
                <w:ilvl w:val="1"/>
                <w:numId w:val="6"/>
              </w:numPr>
              <w:tabs>
                <w:tab w:val="left" w:pos="1036"/>
              </w:tabs>
              <w:spacing w:before="1" w:line="235" w:lineRule="auto"/>
              <w:ind w:right="947"/>
              <w:rPr>
                <w:rFonts w:ascii="Calibri" w:eastAsia="Calibri" w:hAnsi="Calibri" w:cs="Calibri"/>
                <w:sz w:val="20"/>
                <w:szCs w:val="20"/>
              </w:rPr>
            </w:pPr>
            <w:r>
              <w:rPr>
                <w:rFonts w:ascii="Calibri"/>
                <w:sz w:val="20"/>
              </w:rPr>
              <w:t>l</w:t>
            </w:r>
            <w:r w:rsidR="000E53B5">
              <w:rPr>
                <w:rFonts w:ascii="Calibri"/>
                <w:sz w:val="20"/>
              </w:rPr>
              <w:t>a</w:t>
            </w:r>
            <w:r>
              <w:rPr>
                <w:rFonts w:ascii="Calibri"/>
                <w:sz w:val="20"/>
              </w:rPr>
              <w:t xml:space="preserve"> conseill</w:t>
            </w:r>
            <w:r w:rsidR="000E53B5">
              <w:rPr>
                <w:rFonts w:ascii="Calibri"/>
                <w:sz w:val="20"/>
              </w:rPr>
              <w:t>ère</w:t>
            </w:r>
            <w:r>
              <w:rPr>
                <w:rFonts w:ascii="Calibri"/>
                <w:sz w:val="20"/>
              </w:rPr>
              <w:t xml:space="preserve"> ou l</w:t>
            </w:r>
            <w:r w:rsidR="000E53B5">
              <w:rPr>
                <w:rFonts w:ascii="Calibri"/>
                <w:sz w:val="20"/>
              </w:rPr>
              <w:t>e</w:t>
            </w:r>
            <w:r>
              <w:rPr>
                <w:rFonts w:ascii="Calibri"/>
                <w:sz w:val="20"/>
              </w:rPr>
              <w:t xml:space="preserve"> conseill</w:t>
            </w:r>
            <w:r w:rsidR="000E53B5">
              <w:rPr>
                <w:rFonts w:ascii="Calibri"/>
                <w:sz w:val="20"/>
              </w:rPr>
              <w:t>er</w:t>
            </w:r>
            <w:r>
              <w:rPr>
                <w:rFonts w:ascii="Calibri"/>
                <w:sz w:val="20"/>
              </w:rPr>
              <w:t xml:space="preserve"> en adoption du numérique figure dans le registre de fournisseurs approuvés du CCN</w:t>
            </w:r>
            <w:r w:rsidR="00B20165">
              <w:rPr>
                <w:rFonts w:ascii="Calibri"/>
                <w:sz w:val="20"/>
              </w:rPr>
              <w:t>.</w:t>
            </w:r>
          </w:p>
          <w:p w14:paraId="0712C2F1" w14:textId="2EA1C79C" w:rsidR="00B541FD" w:rsidRDefault="00B541FD" w:rsidP="00CC2C7E">
            <w:pPr>
              <w:pStyle w:val="Default"/>
              <w:rPr>
                <w:rFonts w:ascii="Calibri" w:eastAsia="Calibri" w:hAnsi="Calibri" w:cs="Calibri"/>
                <w:sz w:val="20"/>
                <w:szCs w:val="20"/>
              </w:rPr>
            </w:pPr>
          </w:p>
        </w:tc>
        <w:tc>
          <w:tcPr>
            <w:tcW w:w="7037" w:type="dxa"/>
            <w:tcBorders>
              <w:top w:val="single" w:sz="3" w:space="0" w:color="E14E35"/>
              <w:left w:val="single" w:sz="5" w:space="0" w:color="E14E35"/>
              <w:bottom w:val="single" w:sz="5" w:space="0" w:color="E14E35"/>
              <w:right w:val="single" w:sz="5" w:space="0" w:color="E14E35"/>
            </w:tcBorders>
          </w:tcPr>
          <w:p w14:paraId="0712C2F2" w14:textId="38992509" w:rsidR="00F624F6" w:rsidRDefault="00500D9A">
            <w:pPr>
              <w:pStyle w:val="TableParagraph"/>
              <w:spacing w:before="19" w:line="234" w:lineRule="auto"/>
              <w:ind w:left="463" w:right="419" w:hanging="360"/>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Coûts qui ne sont pas directement associés à la réalisation des produits livrables et à l’atteinte des jalons précisés dans l’entente de financement conclue avec le CIO</w:t>
            </w:r>
            <w:r w:rsidR="00AE7A3B">
              <w:rPr>
                <w:rFonts w:ascii="Calibri" w:hAnsi="Calibri"/>
                <w:sz w:val="20"/>
              </w:rPr>
              <w:t>.</w:t>
            </w:r>
          </w:p>
          <w:p w14:paraId="0712C2F3" w14:textId="662E8B88" w:rsidR="00F624F6" w:rsidRDefault="00500D9A">
            <w:pPr>
              <w:pStyle w:val="TableParagraph"/>
              <w:spacing w:line="319" w:lineRule="exact"/>
              <w:ind w:left="103"/>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Dépenses de nature personnelle</w:t>
            </w:r>
            <w:r w:rsidR="00AE7A3B">
              <w:rPr>
                <w:rFonts w:ascii="Calibri" w:hAnsi="Calibri"/>
                <w:sz w:val="20"/>
              </w:rPr>
              <w:t>.</w:t>
            </w:r>
          </w:p>
          <w:p w14:paraId="0712C2F4" w14:textId="22ABC244" w:rsidR="00F624F6" w:rsidRDefault="00500D9A">
            <w:pPr>
              <w:pStyle w:val="TableParagraph"/>
              <w:spacing w:line="325" w:lineRule="exact"/>
              <w:ind w:left="103"/>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Coûts permanents de production</w:t>
            </w:r>
            <w:r w:rsidR="00AE7A3B">
              <w:rPr>
                <w:rFonts w:ascii="Calibri" w:hAnsi="Calibri"/>
                <w:sz w:val="20"/>
              </w:rPr>
              <w:t>.</w:t>
            </w:r>
          </w:p>
          <w:p w14:paraId="0712C2F5" w14:textId="324866B9" w:rsidR="00F624F6" w:rsidRDefault="00500D9A">
            <w:pPr>
              <w:pStyle w:val="TableParagraph"/>
              <w:spacing w:line="323" w:lineRule="exact"/>
              <w:ind w:left="103"/>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Frais d’intérêts sur les contrats de location-acquisition</w:t>
            </w:r>
            <w:r w:rsidR="00AE7A3B">
              <w:rPr>
                <w:rFonts w:ascii="Calibri" w:hAnsi="Calibri"/>
                <w:sz w:val="20"/>
              </w:rPr>
              <w:t>.</w:t>
            </w:r>
          </w:p>
          <w:p w14:paraId="0712C2F6" w14:textId="1E998DA4" w:rsidR="00F624F6" w:rsidRDefault="00500D9A">
            <w:pPr>
              <w:pStyle w:val="TableParagraph"/>
              <w:spacing w:line="323" w:lineRule="exact"/>
              <w:ind w:left="103"/>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Besoins généraux en fonds de roulement</w:t>
            </w:r>
            <w:r w:rsidR="00AE7A3B">
              <w:rPr>
                <w:rFonts w:ascii="Calibri" w:hAnsi="Calibri"/>
                <w:sz w:val="20"/>
              </w:rPr>
              <w:t>.</w:t>
            </w:r>
          </w:p>
          <w:p w14:paraId="0712C2F7" w14:textId="03DB9C88" w:rsidR="00F624F6" w:rsidRDefault="00500D9A">
            <w:pPr>
              <w:pStyle w:val="TableParagraph"/>
              <w:spacing w:line="325" w:lineRule="exact"/>
              <w:ind w:left="103"/>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Coûts liés aux prix et à la reconnaissance du personnel</w:t>
            </w:r>
            <w:r w:rsidR="00AE7A3B">
              <w:rPr>
                <w:rFonts w:ascii="Calibri" w:hAnsi="Calibri"/>
                <w:sz w:val="20"/>
              </w:rPr>
              <w:t>.</w:t>
            </w:r>
          </w:p>
          <w:p w14:paraId="0712C2F8" w14:textId="1B10B99E" w:rsidR="00F624F6" w:rsidRDefault="00500D9A">
            <w:pPr>
              <w:pStyle w:val="TableParagraph"/>
              <w:spacing w:line="323" w:lineRule="exact"/>
              <w:ind w:left="103"/>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Primes, dividendes et incitatifs en espèces</w:t>
            </w:r>
            <w:r w:rsidR="00AE7A3B">
              <w:rPr>
                <w:rFonts w:ascii="Calibri" w:hAnsi="Calibri"/>
                <w:sz w:val="20"/>
              </w:rPr>
              <w:t>.</w:t>
            </w:r>
          </w:p>
          <w:p w14:paraId="0712C2F9" w14:textId="6BAD9C51" w:rsidR="00F624F6" w:rsidRDefault="00500D9A">
            <w:pPr>
              <w:pStyle w:val="TableParagraph"/>
              <w:spacing w:line="323" w:lineRule="exact"/>
              <w:ind w:left="103"/>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Coûts associés aux fusions et aux acquisitions</w:t>
            </w:r>
            <w:r w:rsidR="00AE7A3B">
              <w:rPr>
                <w:rFonts w:ascii="Calibri" w:hAnsi="Calibri"/>
                <w:sz w:val="20"/>
              </w:rPr>
              <w:t>.</w:t>
            </w:r>
          </w:p>
          <w:p w14:paraId="0712C2FA" w14:textId="7E52B8EC" w:rsidR="00F624F6" w:rsidRDefault="00500D9A">
            <w:pPr>
              <w:pStyle w:val="TableParagraph"/>
              <w:spacing w:line="325" w:lineRule="exact"/>
              <w:ind w:left="103"/>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Frais de stationnement mensuels</w:t>
            </w:r>
            <w:r w:rsidR="00AE7A3B">
              <w:rPr>
                <w:rFonts w:ascii="Calibri" w:hAnsi="Calibri"/>
                <w:sz w:val="20"/>
              </w:rPr>
              <w:t>.</w:t>
            </w:r>
          </w:p>
          <w:p w14:paraId="0712C2FB" w14:textId="468D2C59" w:rsidR="00F624F6" w:rsidRDefault="00500D9A">
            <w:pPr>
              <w:pStyle w:val="TableParagraph"/>
              <w:spacing w:line="325" w:lineRule="exact"/>
              <w:ind w:left="103"/>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Frais de repas et de représentation, cadeaux et boissons alcoolisées</w:t>
            </w:r>
            <w:r w:rsidR="00AE7A3B">
              <w:rPr>
                <w:rFonts w:ascii="Calibri" w:hAnsi="Calibri"/>
                <w:sz w:val="20"/>
              </w:rPr>
              <w:t>.</w:t>
            </w:r>
          </w:p>
          <w:p w14:paraId="0712C2FC" w14:textId="30EB1A7D" w:rsidR="00F624F6" w:rsidRDefault="00500D9A">
            <w:pPr>
              <w:pStyle w:val="TableParagraph"/>
              <w:spacing w:line="325" w:lineRule="exact"/>
              <w:ind w:left="103"/>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Dépenses liées à des activités de lobbying ou de relations gouvernementales</w:t>
            </w:r>
            <w:r w:rsidR="00AE7A3B">
              <w:rPr>
                <w:rFonts w:ascii="Calibri" w:hAnsi="Calibri"/>
                <w:sz w:val="20"/>
              </w:rPr>
              <w:t>.</w:t>
            </w:r>
          </w:p>
          <w:p w14:paraId="0712C2FD" w14:textId="4664042D" w:rsidR="00F624F6" w:rsidRDefault="00500D9A">
            <w:pPr>
              <w:pStyle w:val="TableParagraph"/>
              <w:spacing w:line="328" w:lineRule="exact"/>
              <w:ind w:left="103"/>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Charges fiscales (notamment les taxes de vente, la production de déclarations de revenus, les impôts sur le revenu)</w:t>
            </w:r>
            <w:r w:rsidR="00AE7A3B">
              <w:rPr>
                <w:rFonts w:ascii="Calibri" w:hAnsi="Calibri"/>
                <w:sz w:val="20"/>
              </w:rPr>
              <w:t>.</w:t>
            </w:r>
          </w:p>
          <w:p w14:paraId="0712C2FE" w14:textId="0601193A" w:rsidR="00F624F6" w:rsidRDefault="00500D9A">
            <w:pPr>
              <w:pStyle w:val="TableParagraph"/>
              <w:spacing w:before="3" w:line="234" w:lineRule="auto"/>
              <w:ind w:left="463" w:right="452" w:hanging="360"/>
              <w:rPr>
                <w:rFonts w:ascii="Calibri" w:eastAsia="Calibri" w:hAnsi="Calibri" w:cs="Calibri"/>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Provision pour intérêts sur le capital investi, les obligations, les débentures, les prêts bancaires ou autres, ainsi que les escomptes à l’émission d’obligations et les frais financiers connexes</w:t>
            </w:r>
            <w:r w:rsidR="00AE7A3B">
              <w:rPr>
                <w:rFonts w:ascii="Calibri" w:hAnsi="Calibri"/>
                <w:sz w:val="20"/>
              </w:rPr>
              <w:t>.</w:t>
            </w:r>
          </w:p>
          <w:p w14:paraId="0712C2FF" w14:textId="4E528789" w:rsidR="00F624F6" w:rsidRPr="001B6EE4" w:rsidRDefault="00500D9A">
            <w:pPr>
              <w:pStyle w:val="TableParagraph"/>
              <w:spacing w:line="327" w:lineRule="exact"/>
              <w:ind w:left="103"/>
              <w:rPr>
                <w:rFonts w:ascii="Calibri" w:eastAsia="Calibri" w:hAnsi="Calibri" w:cs="Calibri"/>
                <w:strike/>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Coûts des infrastructures</w:t>
            </w:r>
            <w:r w:rsidR="00AE7A3B">
              <w:rPr>
                <w:rFonts w:ascii="Calibri" w:hAnsi="Calibri"/>
                <w:sz w:val="20"/>
              </w:rPr>
              <w:t>.</w:t>
            </w:r>
          </w:p>
          <w:p w14:paraId="2E4A17A6" w14:textId="4F267BE5" w:rsidR="00F624F6" w:rsidRDefault="00500D9A">
            <w:pPr>
              <w:pStyle w:val="TableParagraph"/>
              <w:spacing w:line="334" w:lineRule="exact"/>
              <w:ind w:left="103"/>
              <w:rPr>
                <w:rFonts w:ascii="Calibri" w:eastAsia="Calibri" w:hAnsi="Calibri" w:cs="Calibri"/>
                <w:spacing w:val="-1"/>
                <w:sz w:val="20"/>
                <w:szCs w:val="20"/>
              </w:rPr>
            </w:pPr>
            <w:r>
              <w:rPr>
                <w:rFonts w:ascii="Wingdings 2" w:hAnsi="Wingdings 2"/>
                <w:color w:val="FF0000"/>
                <w:sz w:val="32"/>
              </w:rPr>
              <w:t></w:t>
            </w:r>
            <w:r>
              <w:rPr>
                <w:rFonts w:ascii="Wingdings 2" w:hAnsi="Wingdings 2"/>
                <w:color w:val="FF0000"/>
                <w:sz w:val="32"/>
              </w:rPr>
              <w:t></w:t>
            </w:r>
            <w:r>
              <w:rPr>
                <w:rFonts w:ascii="Calibri" w:hAnsi="Calibri"/>
                <w:sz w:val="20"/>
              </w:rPr>
              <w:t>Coûts en immobilisations corporelles, y compris les terrains, les bâtiments et les véhicules</w:t>
            </w:r>
            <w:r w:rsidR="00AE7A3B">
              <w:rPr>
                <w:rFonts w:ascii="Calibri" w:hAnsi="Calibri"/>
                <w:sz w:val="20"/>
              </w:rPr>
              <w:t>.</w:t>
            </w:r>
          </w:p>
          <w:p w14:paraId="0712C300" w14:textId="126BD3F7" w:rsidR="00C87619" w:rsidRDefault="00C87619">
            <w:pPr>
              <w:pStyle w:val="TableParagraph"/>
              <w:spacing w:line="334" w:lineRule="exact"/>
              <w:ind w:left="103"/>
              <w:rPr>
                <w:rFonts w:ascii="Calibri" w:eastAsia="Calibri" w:hAnsi="Calibri" w:cs="Calibri"/>
                <w:sz w:val="20"/>
                <w:szCs w:val="20"/>
              </w:rPr>
            </w:pPr>
            <w:r>
              <w:rPr>
                <w:rFonts w:ascii="Wingdings 2" w:hAnsi="Wingdings 2"/>
                <w:color w:val="FF0000"/>
                <w:sz w:val="32"/>
              </w:rPr>
              <w:t></w:t>
            </w:r>
            <w:r>
              <w:rPr>
                <w:rFonts w:ascii="Calibri" w:hAnsi="Calibri"/>
                <w:sz w:val="20"/>
              </w:rPr>
              <w:t xml:space="preserve"> Tout coût non lié aux dépenses des sous-traitants</w:t>
            </w:r>
            <w:r w:rsidR="00AE7A3B">
              <w:rPr>
                <w:rFonts w:ascii="Calibri" w:hAnsi="Calibri"/>
                <w:sz w:val="20"/>
              </w:rPr>
              <w:t>.</w:t>
            </w:r>
          </w:p>
        </w:tc>
      </w:tr>
    </w:tbl>
    <w:p w14:paraId="0712C302" w14:textId="77777777" w:rsidR="002B1985" w:rsidRDefault="002B1985"/>
    <w:sectPr w:rsidR="002B1985">
      <w:headerReference w:type="default" r:id="rId11"/>
      <w:footerReference w:type="default" r:id="rId12"/>
      <w:pgSz w:w="15840" w:h="12240" w:orient="landscape"/>
      <w:pgMar w:top="1180" w:right="720" w:bottom="600" w:left="660" w:header="3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546B" w14:textId="77777777" w:rsidR="00984CAC" w:rsidRDefault="00984CAC">
      <w:r>
        <w:separator/>
      </w:r>
    </w:p>
  </w:endnote>
  <w:endnote w:type="continuationSeparator" w:id="0">
    <w:p w14:paraId="0DBB948D" w14:textId="77777777" w:rsidR="00984CAC" w:rsidRDefault="00984CAC">
      <w:r>
        <w:continuationSeparator/>
      </w:r>
    </w:p>
  </w:endnote>
  <w:endnote w:type="continuationNotice" w:id="1">
    <w:p w14:paraId="2ECDA1AC" w14:textId="77777777" w:rsidR="00984CAC" w:rsidRDefault="00984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C304" w14:textId="62B963E0" w:rsidR="00F624F6" w:rsidRDefault="00EA212E">
    <w:pPr>
      <w:spacing w:line="14" w:lineRule="auto"/>
      <w:rPr>
        <w:sz w:val="20"/>
        <w:szCs w:val="20"/>
      </w:rPr>
    </w:pPr>
    <w:r>
      <w:rPr>
        <w:noProof/>
      </w:rPr>
      <mc:AlternateContent>
        <mc:Choice Requires="wps">
          <w:drawing>
            <wp:anchor distT="0" distB="0" distL="114300" distR="114300" simplePos="0" relativeHeight="251658242" behindDoc="1" locked="0" layoutInCell="1" allowOverlap="1" wp14:anchorId="0712C307" wp14:editId="05C15A15">
              <wp:simplePos x="0" y="0"/>
              <wp:positionH relativeFrom="page">
                <wp:posOffset>466726</wp:posOffset>
              </wp:positionH>
              <wp:positionV relativeFrom="page">
                <wp:posOffset>7381875</wp:posOffset>
              </wp:positionV>
              <wp:extent cx="5219700" cy="1428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C30B" w14:textId="3C2A1D37" w:rsidR="00F624F6" w:rsidRDefault="00500D9A">
                          <w:pPr>
                            <w:spacing w:line="188" w:lineRule="exact"/>
                            <w:ind w:left="20"/>
                            <w:rPr>
                              <w:rFonts w:ascii="Calibri" w:eastAsia="Calibri" w:hAnsi="Calibri" w:cs="Calibri"/>
                              <w:sz w:val="16"/>
                              <w:szCs w:val="16"/>
                            </w:rPr>
                          </w:pPr>
                          <w:r>
                            <w:rPr>
                              <w:rFonts w:ascii="Calibri"/>
                              <w:sz w:val="16"/>
                            </w:rPr>
                            <w:t>Dépenses admissibles | Centre de compétences en numérisation | Subventions et investissements destinés aux entreprises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2C307" id="_x0000_t202" coordsize="21600,21600" o:spt="202" path="m,l,21600r21600,l21600,xe">
              <v:stroke joinstyle="miter"/>
              <v:path gradientshapeok="t" o:connecttype="rect"/>
            </v:shapetype>
            <v:shape id="Text Box 3" o:spid="_x0000_s1027" type="#_x0000_t202" style="position:absolute;margin-left:36.75pt;margin-top:581.25pt;width:411pt;height:11.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" filled="f" stroked="f">
              <v:textbox inset="0,0,0,0">
                <w:txbxContent>
                  <w:p w14:paraId="0712C30B" w14:textId="3C2A1D37" w:rsidR="00F624F6" w:rsidRDefault="00500D9A">
                    <w:pPr>
                      <w:spacing w:line="188" w:lineRule="exact"/>
                      <w:ind w:left="20"/>
                      <w:rPr>
                        <w:rFonts w:ascii="Calibri" w:eastAsia="Calibri" w:hAnsi="Calibri" w:cs="Calibri"/>
                        <w:sz w:val="16"/>
                        <w:szCs w:val="16"/>
                      </w:rPr>
                    </w:pPr>
                    <w:r>
                      <w:rPr>
                        <w:rFonts w:ascii="Calibri"/>
                        <w:sz w:val="16"/>
                      </w:rPr>
                      <w:t>Dépenses admissibles | Centre de compétences en numérisation | Subventions et investissements destinés aux entreprises</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0712C308" wp14:editId="0B821677">
              <wp:simplePos x="0" y="0"/>
              <wp:positionH relativeFrom="page">
                <wp:posOffset>5715000</wp:posOffset>
              </wp:positionH>
              <wp:positionV relativeFrom="bottomMargin">
                <wp:align>top</wp:align>
              </wp:positionV>
              <wp:extent cx="255270" cy="130175"/>
              <wp:effectExtent l="0" t="0" r="1143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C30C" w14:textId="77777777" w:rsidR="00F624F6" w:rsidRDefault="00500D9A">
                          <w:pPr>
                            <w:spacing w:line="188" w:lineRule="exact"/>
                            <w:ind w:left="20"/>
                            <w:rPr>
                              <w:rFonts w:ascii="Calibri" w:eastAsia="Calibri" w:hAnsi="Calibri" w:cs="Calibri"/>
                              <w:sz w:val="16"/>
                              <w:szCs w:val="16"/>
                            </w:rPr>
                          </w:pPr>
                          <w:r>
                            <w:rPr>
                              <w:rFonts w:ascii="Calibri"/>
                              <w:sz w:val="16"/>
                            </w:rPr>
                            <w:t>V3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C308" id="Text Box 2" o:spid="_x0000_s1028" type="#_x0000_t202" style="position:absolute;margin-left:450pt;margin-top:0;width:20.1pt;height:10.25pt;z-index:-251658237;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" filled="f" stroked="f">
              <v:textbox inset="0,0,0,0">
                <w:txbxContent>
                  <w:p w14:paraId="0712C30C" w14:textId="77777777" w:rsidR="00F624F6" w:rsidRDefault="00500D9A">
                    <w:pPr>
                      <w:spacing w:line="188" w:lineRule="exact"/>
                      <w:ind w:left="20"/>
                      <w:rPr>
                        <w:rFonts w:ascii="Calibri" w:eastAsia="Calibri" w:hAnsi="Calibri" w:cs="Calibri"/>
                        <w:sz w:val="16"/>
                        <w:szCs w:val="16"/>
                      </w:rPr>
                    </w:pPr>
                    <w:r>
                      <w:rPr>
                        <w:rFonts w:ascii="Calibri"/>
                        <w:sz w:val="16"/>
                      </w:rPr>
                      <w:t>V3</w:t>
                    </w:r>
                  </w:p>
                </w:txbxContent>
              </v:textbox>
              <w10:wrap anchorx="page" anchory="margin"/>
            </v:shape>
          </w:pict>
        </mc:Fallback>
      </mc:AlternateContent>
    </w:r>
    <w:r w:rsidR="00C504D3">
      <w:rPr>
        <w:noProof/>
      </w:rPr>
      <mc:AlternateContent>
        <mc:Choice Requires="wps">
          <w:drawing>
            <wp:anchor distT="0" distB="0" distL="114300" distR="114300" simplePos="0" relativeHeight="251658244" behindDoc="1" locked="0" layoutInCell="1" allowOverlap="1" wp14:anchorId="0712C309" wp14:editId="1EE34992">
              <wp:simplePos x="0" y="0"/>
              <wp:positionH relativeFrom="page">
                <wp:posOffset>8689340</wp:posOffset>
              </wp:positionH>
              <wp:positionV relativeFrom="page">
                <wp:posOffset>7366000</wp:posOffset>
              </wp:positionV>
              <wp:extent cx="382270" cy="127000"/>
              <wp:effectExtent l="2540" t="317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C30D" w14:textId="77777777" w:rsidR="00F624F6" w:rsidRDefault="00500D9A">
                          <w:pPr>
                            <w:spacing w:line="188" w:lineRule="exact"/>
                            <w:ind w:left="20"/>
                            <w:rPr>
                              <w:rFonts w:ascii="Calibri" w:eastAsia="Calibri" w:hAnsi="Calibri" w:cs="Calibri"/>
                              <w:sz w:val="16"/>
                              <w:szCs w:val="16"/>
                            </w:rPr>
                          </w:pPr>
                          <w:r>
                            <w:rPr>
                              <w:rFonts w:ascii="Calibri"/>
                              <w:sz w:val="16"/>
                            </w:rPr>
                            <w:t xml:space="preserve">Page | </w:t>
                          </w:r>
                          <w:r>
                            <w:fldChar w:fldCharType="begin"/>
                          </w:r>
                          <w:r>
                            <w:rPr>
                              <w:rFonts w:ascii="Calibri"/>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C309" id="Text Box 1" o:spid="_x0000_s1029" type="#_x0000_t202" style="position:absolute;margin-left:684.2pt;margin-top:580pt;width:30.1pt;height:10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" filled="f" stroked="f">
              <v:textbox inset="0,0,0,0">
                <w:txbxContent>
                  <w:p w14:paraId="0712C30D" w14:textId="77777777" w:rsidR="00F624F6" w:rsidRDefault="00500D9A">
                    <w:pPr>
                      <w:spacing w:line="188" w:lineRule="exact"/>
                      <w:ind w:left="20"/>
                      <w:rPr>
                        <w:sz w:val="16"/>
                        <w:szCs w:val="16"/>
                        <w:rFonts w:ascii="Calibri" w:eastAsia="Calibri" w:hAnsi="Calibri" w:cs="Calibri"/>
                      </w:rPr>
                    </w:pPr>
                    <w:r>
                      <w:rPr>
                        <w:sz w:val="16"/>
                        <w:rFonts w:ascii="Calibri"/>
                      </w:rPr>
                      <w:t xml:space="preserve">Page | </w:t>
                    </w:r>
                    <w:r>
                      <w:fldChar w:fldCharType="begin"/>
                    </w:r>
                    <w:r>
                      <w:rPr>
                        <w:sz w:val="16"/>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9BC5" w14:textId="77777777" w:rsidR="00984CAC" w:rsidRDefault="00984CAC">
      <w:r>
        <w:separator/>
      </w:r>
    </w:p>
  </w:footnote>
  <w:footnote w:type="continuationSeparator" w:id="0">
    <w:p w14:paraId="5A3790FB" w14:textId="77777777" w:rsidR="00984CAC" w:rsidRDefault="00984CAC">
      <w:r>
        <w:continuationSeparator/>
      </w:r>
    </w:p>
  </w:footnote>
  <w:footnote w:type="continuationNotice" w:id="1">
    <w:p w14:paraId="46309503" w14:textId="77777777" w:rsidR="00984CAC" w:rsidRDefault="00984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C303" w14:textId="01028963" w:rsidR="00F624F6" w:rsidRDefault="00C504D3">
    <w:pPr>
      <w:spacing w:line="14" w:lineRule="auto"/>
      <w:rPr>
        <w:sz w:val="20"/>
        <w:szCs w:val="20"/>
      </w:rPr>
    </w:pPr>
    <w:r>
      <w:rPr>
        <w:noProof/>
      </w:rPr>
      <w:drawing>
        <wp:anchor distT="0" distB="0" distL="114300" distR="114300" simplePos="0" relativeHeight="251658240" behindDoc="1" locked="0" layoutInCell="1" allowOverlap="1" wp14:anchorId="0712C305" wp14:editId="0F27B2C9">
          <wp:simplePos x="0" y="0"/>
          <wp:positionH relativeFrom="page">
            <wp:posOffset>8433435</wp:posOffset>
          </wp:positionH>
          <wp:positionV relativeFrom="page">
            <wp:posOffset>203200</wp:posOffset>
          </wp:positionV>
          <wp:extent cx="1103630" cy="456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1" locked="0" layoutInCell="1" allowOverlap="1" wp14:anchorId="0712C306" wp14:editId="146CB626">
              <wp:simplePos x="0" y="0"/>
              <wp:positionH relativeFrom="page">
                <wp:posOffset>470535</wp:posOffset>
              </wp:positionH>
              <wp:positionV relativeFrom="page">
                <wp:posOffset>393065</wp:posOffset>
              </wp:positionV>
              <wp:extent cx="3879850" cy="381000"/>
              <wp:effectExtent l="3810" t="254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C30A" w14:textId="77777777" w:rsidR="00F624F6" w:rsidRPr="00EA212E" w:rsidRDefault="00500D9A" w:rsidP="00EA212E">
                          <w:pPr>
                            <w:spacing w:line="600" w:lineRule="exact"/>
                            <w:ind w:left="20" w:right="90"/>
                            <w:rPr>
                              <w:rFonts w:ascii="Calibri Light" w:eastAsia="Calibri Light" w:hAnsi="Calibri Light" w:cs="Calibri Light"/>
                              <w:sz w:val="44"/>
                              <w:szCs w:val="44"/>
                            </w:rPr>
                          </w:pPr>
                          <w:r w:rsidRPr="00EA212E">
                            <w:rPr>
                              <w:rFonts w:ascii="Calibri Light"/>
                              <w:color w:val="E14E35"/>
                              <w:sz w:val="44"/>
                              <w:szCs w:val="44"/>
                            </w:rPr>
                            <w:t>Guide des d</w:t>
                          </w:r>
                          <w:r w:rsidRPr="00EA212E">
                            <w:rPr>
                              <w:rFonts w:ascii="Calibri Light"/>
                              <w:color w:val="E14E35"/>
                              <w:sz w:val="44"/>
                              <w:szCs w:val="44"/>
                            </w:rPr>
                            <w:t>é</w:t>
                          </w:r>
                          <w:r w:rsidRPr="00EA212E">
                            <w:rPr>
                              <w:rFonts w:ascii="Calibri Light"/>
                              <w:color w:val="E14E35"/>
                              <w:sz w:val="44"/>
                              <w:szCs w:val="44"/>
                            </w:rPr>
                            <w:t>penses admissibles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2C306" id="_x0000_t202" coordsize="21600,21600" o:spt="202" path="m,l,21600r21600,l21600,xe">
              <v:stroke joinstyle="miter"/>
              <v:path gradientshapeok="t" o:connecttype="rect"/>
            </v:shapetype>
            <v:shape id="Text Box 4" o:spid="_x0000_s1026" type="#_x0000_t202" style="position:absolute;margin-left:37.05pt;margin-top:30.95pt;width:305.5pt;height:3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" filled="f" stroked="f">
              <v:textbox inset="0,0,0,0">
                <w:txbxContent>
                  <w:p w14:paraId="0712C30A" w14:textId="77777777" w:rsidR="00F624F6" w:rsidRPr="00EA212E" w:rsidRDefault="00500D9A" w:rsidP="00EA212E">
                    <w:pPr>
                      <w:spacing w:line="600" w:lineRule="exact"/>
                      <w:ind w:left="20" w:right="90"/>
                      <w:rPr>
                        <w:rFonts w:ascii="Calibri Light" w:eastAsia="Calibri Light" w:hAnsi="Calibri Light" w:cs="Calibri Light"/>
                        <w:sz w:val="44"/>
                        <w:szCs w:val="44"/>
                      </w:rPr>
                    </w:pPr>
                    <w:r w:rsidRPr="00EA212E">
                      <w:rPr>
                        <w:rFonts w:ascii="Calibri Light"/>
                        <w:color w:val="E14E35"/>
                        <w:sz w:val="44"/>
                        <w:szCs w:val="44"/>
                      </w:rPr>
                      <w:t>Guide des d</w:t>
                    </w:r>
                    <w:r w:rsidRPr="00EA212E">
                      <w:rPr>
                        <w:rFonts w:ascii="Calibri Light"/>
                        <w:color w:val="E14E35"/>
                        <w:sz w:val="44"/>
                        <w:szCs w:val="44"/>
                      </w:rPr>
                      <w:t>é</w:t>
                    </w:r>
                    <w:r w:rsidRPr="00EA212E">
                      <w:rPr>
                        <w:rFonts w:ascii="Calibri Light"/>
                        <w:color w:val="E14E35"/>
                        <w:sz w:val="44"/>
                        <w:szCs w:val="44"/>
                      </w:rPr>
                      <w:t>penses admissibles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517A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14E14"/>
    <w:multiLevelType w:val="hybridMultilevel"/>
    <w:tmpl w:val="598A7E18"/>
    <w:lvl w:ilvl="0" w:tplc="EFBEED1E">
      <w:start w:val="1"/>
      <w:numFmt w:val="bullet"/>
      <w:lvlText w:val="✓"/>
      <w:lvlJc w:val="left"/>
      <w:pPr>
        <w:ind w:left="464" w:hanging="360"/>
      </w:pPr>
      <w:rPr>
        <w:rFonts w:ascii="MS Gothic" w:eastAsia="MS Gothic" w:hAnsi="MS Gothic" w:hint="default"/>
        <w:color w:val="006EC0"/>
        <w:w w:val="78"/>
        <w:sz w:val="28"/>
        <w:szCs w:val="28"/>
      </w:rPr>
    </w:lvl>
    <w:lvl w:ilvl="1" w:tplc="3D0A33D6">
      <w:start w:val="1"/>
      <w:numFmt w:val="bullet"/>
      <w:lvlText w:val="•"/>
      <w:lvlJc w:val="left"/>
      <w:pPr>
        <w:ind w:left="1116" w:hanging="360"/>
      </w:pPr>
      <w:rPr>
        <w:rFonts w:hint="default"/>
      </w:rPr>
    </w:lvl>
    <w:lvl w:ilvl="2" w:tplc="255235F8">
      <w:start w:val="1"/>
      <w:numFmt w:val="bullet"/>
      <w:lvlText w:val="•"/>
      <w:lvlJc w:val="left"/>
      <w:pPr>
        <w:ind w:left="1769" w:hanging="360"/>
      </w:pPr>
      <w:rPr>
        <w:rFonts w:hint="default"/>
      </w:rPr>
    </w:lvl>
    <w:lvl w:ilvl="3" w:tplc="F8C67800">
      <w:start w:val="1"/>
      <w:numFmt w:val="bullet"/>
      <w:lvlText w:val="•"/>
      <w:lvlJc w:val="left"/>
      <w:pPr>
        <w:ind w:left="2421" w:hanging="360"/>
      </w:pPr>
      <w:rPr>
        <w:rFonts w:hint="default"/>
      </w:rPr>
    </w:lvl>
    <w:lvl w:ilvl="4" w:tplc="2DBCE2C6">
      <w:start w:val="1"/>
      <w:numFmt w:val="bullet"/>
      <w:lvlText w:val="•"/>
      <w:lvlJc w:val="left"/>
      <w:pPr>
        <w:ind w:left="3074" w:hanging="360"/>
      </w:pPr>
      <w:rPr>
        <w:rFonts w:hint="default"/>
      </w:rPr>
    </w:lvl>
    <w:lvl w:ilvl="5" w:tplc="612C2D52">
      <w:start w:val="1"/>
      <w:numFmt w:val="bullet"/>
      <w:lvlText w:val="•"/>
      <w:lvlJc w:val="left"/>
      <w:pPr>
        <w:ind w:left="3727" w:hanging="360"/>
      </w:pPr>
      <w:rPr>
        <w:rFonts w:hint="default"/>
      </w:rPr>
    </w:lvl>
    <w:lvl w:ilvl="6" w:tplc="F45291EA">
      <w:start w:val="1"/>
      <w:numFmt w:val="bullet"/>
      <w:lvlText w:val="•"/>
      <w:lvlJc w:val="left"/>
      <w:pPr>
        <w:ind w:left="4379" w:hanging="360"/>
      </w:pPr>
      <w:rPr>
        <w:rFonts w:hint="default"/>
      </w:rPr>
    </w:lvl>
    <w:lvl w:ilvl="7" w:tplc="6A7EFA60">
      <w:start w:val="1"/>
      <w:numFmt w:val="bullet"/>
      <w:lvlText w:val="•"/>
      <w:lvlJc w:val="left"/>
      <w:pPr>
        <w:ind w:left="5032" w:hanging="360"/>
      </w:pPr>
      <w:rPr>
        <w:rFonts w:hint="default"/>
      </w:rPr>
    </w:lvl>
    <w:lvl w:ilvl="8" w:tplc="D90E856A">
      <w:start w:val="1"/>
      <w:numFmt w:val="bullet"/>
      <w:lvlText w:val="•"/>
      <w:lvlJc w:val="left"/>
      <w:pPr>
        <w:ind w:left="5684" w:hanging="360"/>
      </w:pPr>
      <w:rPr>
        <w:rFonts w:hint="default"/>
      </w:rPr>
    </w:lvl>
  </w:abstractNum>
  <w:abstractNum w:abstractNumId="2" w15:restartNumberingAfterBreak="0">
    <w:nsid w:val="536D536C"/>
    <w:multiLevelType w:val="hybridMultilevel"/>
    <w:tmpl w:val="56C2D890"/>
    <w:lvl w:ilvl="0" w:tplc="10090001">
      <w:start w:val="1"/>
      <w:numFmt w:val="bullet"/>
      <w:lvlText w:val=""/>
      <w:lvlJc w:val="left"/>
      <w:pPr>
        <w:ind w:left="824" w:hanging="360"/>
      </w:pPr>
      <w:rPr>
        <w:rFonts w:ascii="Symbol" w:hAnsi="Symbol" w:hint="default"/>
      </w:rPr>
    </w:lvl>
    <w:lvl w:ilvl="1" w:tplc="10090003" w:tentative="1">
      <w:start w:val="1"/>
      <w:numFmt w:val="bullet"/>
      <w:lvlText w:val="o"/>
      <w:lvlJc w:val="left"/>
      <w:pPr>
        <w:ind w:left="1544" w:hanging="360"/>
      </w:pPr>
      <w:rPr>
        <w:rFonts w:ascii="Courier New" w:hAnsi="Courier New" w:cs="Courier New" w:hint="default"/>
      </w:rPr>
    </w:lvl>
    <w:lvl w:ilvl="2" w:tplc="10090005" w:tentative="1">
      <w:start w:val="1"/>
      <w:numFmt w:val="bullet"/>
      <w:lvlText w:val=""/>
      <w:lvlJc w:val="left"/>
      <w:pPr>
        <w:ind w:left="2264" w:hanging="360"/>
      </w:pPr>
      <w:rPr>
        <w:rFonts w:ascii="Wingdings" w:hAnsi="Wingdings" w:hint="default"/>
      </w:rPr>
    </w:lvl>
    <w:lvl w:ilvl="3" w:tplc="10090001" w:tentative="1">
      <w:start w:val="1"/>
      <w:numFmt w:val="bullet"/>
      <w:lvlText w:val=""/>
      <w:lvlJc w:val="left"/>
      <w:pPr>
        <w:ind w:left="2984" w:hanging="360"/>
      </w:pPr>
      <w:rPr>
        <w:rFonts w:ascii="Symbol" w:hAnsi="Symbol" w:hint="default"/>
      </w:rPr>
    </w:lvl>
    <w:lvl w:ilvl="4" w:tplc="10090003" w:tentative="1">
      <w:start w:val="1"/>
      <w:numFmt w:val="bullet"/>
      <w:lvlText w:val="o"/>
      <w:lvlJc w:val="left"/>
      <w:pPr>
        <w:ind w:left="3704" w:hanging="360"/>
      </w:pPr>
      <w:rPr>
        <w:rFonts w:ascii="Courier New" w:hAnsi="Courier New" w:cs="Courier New" w:hint="default"/>
      </w:rPr>
    </w:lvl>
    <w:lvl w:ilvl="5" w:tplc="10090005" w:tentative="1">
      <w:start w:val="1"/>
      <w:numFmt w:val="bullet"/>
      <w:lvlText w:val=""/>
      <w:lvlJc w:val="left"/>
      <w:pPr>
        <w:ind w:left="4424" w:hanging="360"/>
      </w:pPr>
      <w:rPr>
        <w:rFonts w:ascii="Wingdings" w:hAnsi="Wingdings" w:hint="default"/>
      </w:rPr>
    </w:lvl>
    <w:lvl w:ilvl="6" w:tplc="10090001" w:tentative="1">
      <w:start w:val="1"/>
      <w:numFmt w:val="bullet"/>
      <w:lvlText w:val=""/>
      <w:lvlJc w:val="left"/>
      <w:pPr>
        <w:ind w:left="5144" w:hanging="360"/>
      </w:pPr>
      <w:rPr>
        <w:rFonts w:ascii="Symbol" w:hAnsi="Symbol" w:hint="default"/>
      </w:rPr>
    </w:lvl>
    <w:lvl w:ilvl="7" w:tplc="10090003" w:tentative="1">
      <w:start w:val="1"/>
      <w:numFmt w:val="bullet"/>
      <w:lvlText w:val="o"/>
      <w:lvlJc w:val="left"/>
      <w:pPr>
        <w:ind w:left="5864" w:hanging="360"/>
      </w:pPr>
      <w:rPr>
        <w:rFonts w:ascii="Courier New" w:hAnsi="Courier New" w:cs="Courier New" w:hint="default"/>
      </w:rPr>
    </w:lvl>
    <w:lvl w:ilvl="8" w:tplc="10090005" w:tentative="1">
      <w:start w:val="1"/>
      <w:numFmt w:val="bullet"/>
      <w:lvlText w:val=""/>
      <w:lvlJc w:val="left"/>
      <w:pPr>
        <w:ind w:left="6584" w:hanging="360"/>
      </w:pPr>
      <w:rPr>
        <w:rFonts w:ascii="Wingdings" w:hAnsi="Wingdings" w:hint="default"/>
      </w:rPr>
    </w:lvl>
  </w:abstractNum>
  <w:abstractNum w:abstractNumId="3" w15:restartNumberingAfterBreak="0">
    <w:nsid w:val="5DA01096"/>
    <w:multiLevelType w:val="hybridMultilevel"/>
    <w:tmpl w:val="F65A90E8"/>
    <w:lvl w:ilvl="0" w:tplc="87486154">
      <w:start w:val="1"/>
      <w:numFmt w:val="bullet"/>
      <w:lvlText w:val="✓"/>
      <w:lvlJc w:val="left"/>
      <w:pPr>
        <w:ind w:left="464" w:hanging="360"/>
      </w:pPr>
      <w:rPr>
        <w:rFonts w:ascii="MS Gothic" w:eastAsia="MS Gothic" w:hAnsi="MS Gothic" w:hint="default"/>
        <w:color w:val="006EC0"/>
        <w:w w:val="78"/>
        <w:sz w:val="28"/>
        <w:szCs w:val="28"/>
      </w:rPr>
    </w:lvl>
    <w:lvl w:ilvl="1" w:tplc="4676928A">
      <w:start w:val="1"/>
      <w:numFmt w:val="bullet"/>
      <w:lvlText w:val="•"/>
      <w:lvlJc w:val="left"/>
      <w:pPr>
        <w:ind w:left="1118" w:hanging="360"/>
      </w:pPr>
      <w:rPr>
        <w:rFonts w:hint="default"/>
      </w:rPr>
    </w:lvl>
    <w:lvl w:ilvl="2" w:tplc="450422AA">
      <w:start w:val="1"/>
      <w:numFmt w:val="bullet"/>
      <w:lvlText w:val="•"/>
      <w:lvlJc w:val="left"/>
      <w:pPr>
        <w:ind w:left="1773" w:hanging="360"/>
      </w:pPr>
      <w:rPr>
        <w:rFonts w:hint="default"/>
      </w:rPr>
    </w:lvl>
    <w:lvl w:ilvl="3" w:tplc="31BA19CE">
      <w:start w:val="1"/>
      <w:numFmt w:val="bullet"/>
      <w:lvlText w:val="•"/>
      <w:lvlJc w:val="left"/>
      <w:pPr>
        <w:ind w:left="2427" w:hanging="360"/>
      </w:pPr>
      <w:rPr>
        <w:rFonts w:hint="default"/>
      </w:rPr>
    </w:lvl>
    <w:lvl w:ilvl="4" w:tplc="3306FE24">
      <w:start w:val="1"/>
      <w:numFmt w:val="bullet"/>
      <w:lvlText w:val="•"/>
      <w:lvlJc w:val="left"/>
      <w:pPr>
        <w:ind w:left="3082" w:hanging="360"/>
      </w:pPr>
      <w:rPr>
        <w:rFonts w:hint="default"/>
      </w:rPr>
    </w:lvl>
    <w:lvl w:ilvl="5" w:tplc="533455D0">
      <w:start w:val="1"/>
      <w:numFmt w:val="bullet"/>
      <w:lvlText w:val="•"/>
      <w:lvlJc w:val="left"/>
      <w:pPr>
        <w:ind w:left="3737" w:hanging="360"/>
      </w:pPr>
      <w:rPr>
        <w:rFonts w:hint="default"/>
      </w:rPr>
    </w:lvl>
    <w:lvl w:ilvl="6" w:tplc="76E23D0C">
      <w:start w:val="1"/>
      <w:numFmt w:val="bullet"/>
      <w:lvlText w:val="•"/>
      <w:lvlJc w:val="left"/>
      <w:pPr>
        <w:ind w:left="4391" w:hanging="360"/>
      </w:pPr>
      <w:rPr>
        <w:rFonts w:hint="default"/>
      </w:rPr>
    </w:lvl>
    <w:lvl w:ilvl="7" w:tplc="51EE9762">
      <w:start w:val="1"/>
      <w:numFmt w:val="bullet"/>
      <w:lvlText w:val="•"/>
      <w:lvlJc w:val="left"/>
      <w:pPr>
        <w:ind w:left="5046" w:hanging="360"/>
      </w:pPr>
      <w:rPr>
        <w:rFonts w:hint="default"/>
      </w:rPr>
    </w:lvl>
    <w:lvl w:ilvl="8" w:tplc="0F6E6B08">
      <w:start w:val="1"/>
      <w:numFmt w:val="bullet"/>
      <w:lvlText w:val="•"/>
      <w:lvlJc w:val="left"/>
      <w:pPr>
        <w:ind w:left="5700" w:hanging="360"/>
      </w:pPr>
      <w:rPr>
        <w:rFonts w:hint="default"/>
      </w:rPr>
    </w:lvl>
  </w:abstractNum>
  <w:abstractNum w:abstractNumId="4" w15:restartNumberingAfterBreak="0">
    <w:nsid w:val="75BD177A"/>
    <w:multiLevelType w:val="hybridMultilevel"/>
    <w:tmpl w:val="731A3F50"/>
    <w:lvl w:ilvl="0" w:tplc="0314534C">
      <w:start w:val="1"/>
      <w:numFmt w:val="bullet"/>
      <w:lvlText w:val="✓"/>
      <w:lvlJc w:val="left"/>
      <w:pPr>
        <w:ind w:left="464" w:hanging="360"/>
      </w:pPr>
      <w:rPr>
        <w:rFonts w:ascii="MS Gothic" w:eastAsia="MS Gothic" w:hAnsi="MS Gothic" w:hint="default"/>
        <w:color w:val="006EC0"/>
        <w:w w:val="78"/>
        <w:sz w:val="28"/>
        <w:szCs w:val="28"/>
      </w:rPr>
    </w:lvl>
    <w:lvl w:ilvl="1" w:tplc="DFAC65E2">
      <w:start w:val="1"/>
      <w:numFmt w:val="bullet"/>
      <w:lvlText w:val="•"/>
      <w:lvlJc w:val="left"/>
      <w:pPr>
        <w:ind w:left="1115" w:hanging="360"/>
      </w:pPr>
      <w:rPr>
        <w:rFonts w:hint="default"/>
      </w:rPr>
    </w:lvl>
    <w:lvl w:ilvl="2" w:tplc="FDBE128E">
      <w:start w:val="1"/>
      <w:numFmt w:val="bullet"/>
      <w:lvlText w:val="•"/>
      <w:lvlJc w:val="left"/>
      <w:pPr>
        <w:ind w:left="1767" w:hanging="360"/>
      </w:pPr>
      <w:rPr>
        <w:rFonts w:hint="default"/>
      </w:rPr>
    </w:lvl>
    <w:lvl w:ilvl="3" w:tplc="343A113C">
      <w:start w:val="1"/>
      <w:numFmt w:val="bullet"/>
      <w:lvlText w:val="•"/>
      <w:lvlJc w:val="left"/>
      <w:pPr>
        <w:ind w:left="2418" w:hanging="360"/>
      </w:pPr>
      <w:rPr>
        <w:rFonts w:hint="default"/>
      </w:rPr>
    </w:lvl>
    <w:lvl w:ilvl="4" w:tplc="91CCBB28">
      <w:start w:val="1"/>
      <w:numFmt w:val="bullet"/>
      <w:lvlText w:val="•"/>
      <w:lvlJc w:val="left"/>
      <w:pPr>
        <w:ind w:left="3070" w:hanging="360"/>
      </w:pPr>
      <w:rPr>
        <w:rFonts w:hint="default"/>
      </w:rPr>
    </w:lvl>
    <w:lvl w:ilvl="5" w:tplc="862E36E4">
      <w:start w:val="1"/>
      <w:numFmt w:val="bullet"/>
      <w:lvlText w:val="•"/>
      <w:lvlJc w:val="left"/>
      <w:pPr>
        <w:ind w:left="3722" w:hanging="360"/>
      </w:pPr>
      <w:rPr>
        <w:rFonts w:hint="default"/>
      </w:rPr>
    </w:lvl>
    <w:lvl w:ilvl="6" w:tplc="200CB33E">
      <w:start w:val="1"/>
      <w:numFmt w:val="bullet"/>
      <w:lvlText w:val="•"/>
      <w:lvlJc w:val="left"/>
      <w:pPr>
        <w:ind w:left="4373" w:hanging="360"/>
      </w:pPr>
      <w:rPr>
        <w:rFonts w:hint="default"/>
      </w:rPr>
    </w:lvl>
    <w:lvl w:ilvl="7" w:tplc="FA02EC78">
      <w:start w:val="1"/>
      <w:numFmt w:val="bullet"/>
      <w:lvlText w:val="•"/>
      <w:lvlJc w:val="left"/>
      <w:pPr>
        <w:ind w:left="5025" w:hanging="360"/>
      </w:pPr>
      <w:rPr>
        <w:rFonts w:hint="default"/>
      </w:rPr>
    </w:lvl>
    <w:lvl w:ilvl="8" w:tplc="596AA6D8">
      <w:start w:val="1"/>
      <w:numFmt w:val="bullet"/>
      <w:lvlText w:val="•"/>
      <w:lvlJc w:val="left"/>
      <w:pPr>
        <w:ind w:left="5676" w:hanging="360"/>
      </w:pPr>
      <w:rPr>
        <w:rFonts w:hint="default"/>
      </w:rPr>
    </w:lvl>
  </w:abstractNum>
  <w:abstractNum w:abstractNumId="5" w15:restartNumberingAfterBreak="0">
    <w:nsid w:val="78B61F87"/>
    <w:multiLevelType w:val="hybridMultilevel"/>
    <w:tmpl w:val="83CC8F6E"/>
    <w:lvl w:ilvl="0" w:tplc="E0FA5D3C">
      <w:start w:val="1"/>
      <w:numFmt w:val="decimal"/>
      <w:lvlText w:val="%1."/>
      <w:lvlJc w:val="left"/>
      <w:pPr>
        <w:ind w:left="720" w:hanging="360"/>
      </w:pPr>
      <w:rPr>
        <w:rFonts w:ascii="Calibri" w:eastAsia="Calibri" w:hAnsi="Calibri" w:hint="default"/>
        <w:spacing w:val="-2"/>
        <w:sz w:val="20"/>
        <w:szCs w:val="20"/>
      </w:rPr>
    </w:lvl>
    <w:lvl w:ilvl="1" w:tplc="41CA7504">
      <w:start w:val="1"/>
      <w:numFmt w:val="bullet"/>
      <w:lvlText w:val="•"/>
      <w:lvlJc w:val="left"/>
      <w:pPr>
        <w:ind w:left="2096" w:hanging="360"/>
      </w:pPr>
      <w:rPr>
        <w:rFonts w:hint="default"/>
      </w:rPr>
    </w:lvl>
    <w:lvl w:ilvl="2" w:tplc="ACF6D9EC">
      <w:start w:val="1"/>
      <w:numFmt w:val="bullet"/>
      <w:lvlText w:val="•"/>
      <w:lvlJc w:val="left"/>
      <w:pPr>
        <w:ind w:left="3472" w:hanging="360"/>
      </w:pPr>
      <w:rPr>
        <w:rFonts w:hint="default"/>
      </w:rPr>
    </w:lvl>
    <w:lvl w:ilvl="3" w:tplc="BE66C4A6">
      <w:start w:val="1"/>
      <w:numFmt w:val="bullet"/>
      <w:lvlText w:val="•"/>
      <w:lvlJc w:val="left"/>
      <w:pPr>
        <w:ind w:left="4848" w:hanging="360"/>
      </w:pPr>
      <w:rPr>
        <w:rFonts w:hint="default"/>
      </w:rPr>
    </w:lvl>
    <w:lvl w:ilvl="4" w:tplc="9D9272D8">
      <w:start w:val="1"/>
      <w:numFmt w:val="bullet"/>
      <w:lvlText w:val="•"/>
      <w:lvlJc w:val="left"/>
      <w:pPr>
        <w:ind w:left="6224" w:hanging="360"/>
      </w:pPr>
      <w:rPr>
        <w:rFonts w:hint="default"/>
      </w:rPr>
    </w:lvl>
    <w:lvl w:ilvl="5" w:tplc="30FED09E">
      <w:start w:val="1"/>
      <w:numFmt w:val="bullet"/>
      <w:lvlText w:val="•"/>
      <w:lvlJc w:val="left"/>
      <w:pPr>
        <w:ind w:left="7600" w:hanging="360"/>
      </w:pPr>
      <w:rPr>
        <w:rFonts w:hint="default"/>
      </w:rPr>
    </w:lvl>
    <w:lvl w:ilvl="6" w:tplc="D90A0DF2">
      <w:start w:val="1"/>
      <w:numFmt w:val="bullet"/>
      <w:lvlText w:val="•"/>
      <w:lvlJc w:val="left"/>
      <w:pPr>
        <w:ind w:left="8976" w:hanging="360"/>
      </w:pPr>
      <w:rPr>
        <w:rFonts w:hint="default"/>
      </w:rPr>
    </w:lvl>
    <w:lvl w:ilvl="7" w:tplc="5B4CC4C2">
      <w:start w:val="1"/>
      <w:numFmt w:val="bullet"/>
      <w:lvlText w:val="•"/>
      <w:lvlJc w:val="left"/>
      <w:pPr>
        <w:ind w:left="10352" w:hanging="360"/>
      </w:pPr>
      <w:rPr>
        <w:rFonts w:hint="default"/>
      </w:rPr>
    </w:lvl>
    <w:lvl w:ilvl="8" w:tplc="C94AC05E">
      <w:start w:val="1"/>
      <w:numFmt w:val="bullet"/>
      <w:lvlText w:val="•"/>
      <w:lvlJc w:val="left"/>
      <w:pPr>
        <w:ind w:left="11728" w:hanging="360"/>
      </w:pPr>
      <w:rPr>
        <w:rFonts w:hint="default"/>
      </w:rPr>
    </w:lvl>
  </w:abstractNum>
  <w:abstractNum w:abstractNumId="6" w15:restartNumberingAfterBreak="0">
    <w:nsid w:val="7ABE1D25"/>
    <w:multiLevelType w:val="hybridMultilevel"/>
    <w:tmpl w:val="937A569E"/>
    <w:lvl w:ilvl="0" w:tplc="10090001">
      <w:start w:val="1"/>
      <w:numFmt w:val="bullet"/>
      <w:lvlText w:val=""/>
      <w:lvlJc w:val="left"/>
      <w:pPr>
        <w:ind w:left="824" w:hanging="360"/>
      </w:pPr>
      <w:rPr>
        <w:rFonts w:ascii="Symbol" w:hAnsi="Symbol" w:hint="default"/>
      </w:rPr>
    </w:lvl>
    <w:lvl w:ilvl="1" w:tplc="10090003">
      <w:start w:val="1"/>
      <w:numFmt w:val="bullet"/>
      <w:lvlText w:val="o"/>
      <w:lvlJc w:val="left"/>
      <w:pPr>
        <w:ind w:left="1544" w:hanging="360"/>
      </w:pPr>
      <w:rPr>
        <w:rFonts w:ascii="Courier New" w:hAnsi="Courier New" w:cs="Courier New" w:hint="default"/>
      </w:rPr>
    </w:lvl>
    <w:lvl w:ilvl="2" w:tplc="10090005" w:tentative="1">
      <w:start w:val="1"/>
      <w:numFmt w:val="bullet"/>
      <w:lvlText w:val=""/>
      <w:lvlJc w:val="left"/>
      <w:pPr>
        <w:ind w:left="2264" w:hanging="360"/>
      </w:pPr>
      <w:rPr>
        <w:rFonts w:ascii="Wingdings" w:hAnsi="Wingdings" w:hint="default"/>
      </w:rPr>
    </w:lvl>
    <w:lvl w:ilvl="3" w:tplc="10090001" w:tentative="1">
      <w:start w:val="1"/>
      <w:numFmt w:val="bullet"/>
      <w:lvlText w:val=""/>
      <w:lvlJc w:val="left"/>
      <w:pPr>
        <w:ind w:left="2984" w:hanging="360"/>
      </w:pPr>
      <w:rPr>
        <w:rFonts w:ascii="Symbol" w:hAnsi="Symbol" w:hint="default"/>
      </w:rPr>
    </w:lvl>
    <w:lvl w:ilvl="4" w:tplc="10090003" w:tentative="1">
      <w:start w:val="1"/>
      <w:numFmt w:val="bullet"/>
      <w:lvlText w:val="o"/>
      <w:lvlJc w:val="left"/>
      <w:pPr>
        <w:ind w:left="3704" w:hanging="360"/>
      </w:pPr>
      <w:rPr>
        <w:rFonts w:ascii="Courier New" w:hAnsi="Courier New" w:cs="Courier New" w:hint="default"/>
      </w:rPr>
    </w:lvl>
    <w:lvl w:ilvl="5" w:tplc="10090005" w:tentative="1">
      <w:start w:val="1"/>
      <w:numFmt w:val="bullet"/>
      <w:lvlText w:val=""/>
      <w:lvlJc w:val="left"/>
      <w:pPr>
        <w:ind w:left="4424" w:hanging="360"/>
      </w:pPr>
      <w:rPr>
        <w:rFonts w:ascii="Wingdings" w:hAnsi="Wingdings" w:hint="default"/>
      </w:rPr>
    </w:lvl>
    <w:lvl w:ilvl="6" w:tplc="10090001" w:tentative="1">
      <w:start w:val="1"/>
      <w:numFmt w:val="bullet"/>
      <w:lvlText w:val=""/>
      <w:lvlJc w:val="left"/>
      <w:pPr>
        <w:ind w:left="5144" w:hanging="360"/>
      </w:pPr>
      <w:rPr>
        <w:rFonts w:ascii="Symbol" w:hAnsi="Symbol" w:hint="default"/>
      </w:rPr>
    </w:lvl>
    <w:lvl w:ilvl="7" w:tplc="10090003" w:tentative="1">
      <w:start w:val="1"/>
      <w:numFmt w:val="bullet"/>
      <w:lvlText w:val="o"/>
      <w:lvlJc w:val="left"/>
      <w:pPr>
        <w:ind w:left="5864" w:hanging="360"/>
      </w:pPr>
      <w:rPr>
        <w:rFonts w:ascii="Courier New" w:hAnsi="Courier New" w:cs="Courier New" w:hint="default"/>
      </w:rPr>
    </w:lvl>
    <w:lvl w:ilvl="8" w:tplc="10090005" w:tentative="1">
      <w:start w:val="1"/>
      <w:numFmt w:val="bullet"/>
      <w:lvlText w:val=""/>
      <w:lvlJc w:val="left"/>
      <w:pPr>
        <w:ind w:left="6584" w:hanging="360"/>
      </w:pPr>
      <w:rPr>
        <w:rFonts w:ascii="Wingdings" w:hAnsi="Wingdings" w:hint="default"/>
      </w:rPr>
    </w:lvl>
  </w:abstractNum>
  <w:num w:numId="1" w16cid:durableId="1206913151">
    <w:abstractNumId w:val="4"/>
  </w:num>
  <w:num w:numId="2" w16cid:durableId="1217742982">
    <w:abstractNumId w:val="3"/>
  </w:num>
  <w:num w:numId="3" w16cid:durableId="1307514139">
    <w:abstractNumId w:val="1"/>
  </w:num>
  <w:num w:numId="4" w16cid:durableId="1279603916">
    <w:abstractNumId w:val="5"/>
  </w:num>
  <w:num w:numId="5" w16cid:durableId="901598875">
    <w:abstractNumId w:val="2"/>
  </w:num>
  <w:num w:numId="6" w16cid:durableId="2034844372">
    <w:abstractNumId w:val="6"/>
  </w:num>
  <w:num w:numId="7" w16cid:durableId="92303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F6"/>
    <w:rsid w:val="00005470"/>
    <w:rsid w:val="00020141"/>
    <w:rsid w:val="0007591E"/>
    <w:rsid w:val="000951F8"/>
    <w:rsid w:val="000D5AA5"/>
    <w:rsid w:val="000E53B5"/>
    <w:rsid w:val="000E79B5"/>
    <w:rsid w:val="000F756F"/>
    <w:rsid w:val="001126FC"/>
    <w:rsid w:val="00116730"/>
    <w:rsid w:val="001B6EE4"/>
    <w:rsid w:val="001E66EC"/>
    <w:rsid w:val="002164F0"/>
    <w:rsid w:val="0025462C"/>
    <w:rsid w:val="00264923"/>
    <w:rsid w:val="00273ACC"/>
    <w:rsid w:val="00274771"/>
    <w:rsid w:val="00290EF1"/>
    <w:rsid w:val="002A1B78"/>
    <w:rsid w:val="002B1985"/>
    <w:rsid w:val="002F1823"/>
    <w:rsid w:val="00346950"/>
    <w:rsid w:val="00373709"/>
    <w:rsid w:val="003810E2"/>
    <w:rsid w:val="00397D23"/>
    <w:rsid w:val="003B6B89"/>
    <w:rsid w:val="003F6F1D"/>
    <w:rsid w:val="004439D9"/>
    <w:rsid w:val="00485C0D"/>
    <w:rsid w:val="004D0959"/>
    <w:rsid w:val="004E6A7B"/>
    <w:rsid w:val="004F1F78"/>
    <w:rsid w:val="00500D9A"/>
    <w:rsid w:val="005217B8"/>
    <w:rsid w:val="0052795A"/>
    <w:rsid w:val="00536813"/>
    <w:rsid w:val="005434E0"/>
    <w:rsid w:val="00555DCA"/>
    <w:rsid w:val="00574FE7"/>
    <w:rsid w:val="00576978"/>
    <w:rsid w:val="005F4704"/>
    <w:rsid w:val="006710EE"/>
    <w:rsid w:val="006A048D"/>
    <w:rsid w:val="00754ED7"/>
    <w:rsid w:val="0078346D"/>
    <w:rsid w:val="007A791C"/>
    <w:rsid w:val="007F0368"/>
    <w:rsid w:val="008102DF"/>
    <w:rsid w:val="00825584"/>
    <w:rsid w:val="00842FB9"/>
    <w:rsid w:val="0088079E"/>
    <w:rsid w:val="008E116E"/>
    <w:rsid w:val="008F13CF"/>
    <w:rsid w:val="008F180A"/>
    <w:rsid w:val="00984CAC"/>
    <w:rsid w:val="009859A1"/>
    <w:rsid w:val="009B3760"/>
    <w:rsid w:val="00A1342F"/>
    <w:rsid w:val="00A2309A"/>
    <w:rsid w:val="00A625D2"/>
    <w:rsid w:val="00A6347E"/>
    <w:rsid w:val="00A83BE0"/>
    <w:rsid w:val="00AB5D15"/>
    <w:rsid w:val="00AE7A3B"/>
    <w:rsid w:val="00B20165"/>
    <w:rsid w:val="00B541FD"/>
    <w:rsid w:val="00B62641"/>
    <w:rsid w:val="00B80A73"/>
    <w:rsid w:val="00B9660F"/>
    <w:rsid w:val="00BB2A8C"/>
    <w:rsid w:val="00BD0C07"/>
    <w:rsid w:val="00C504D3"/>
    <w:rsid w:val="00C84437"/>
    <w:rsid w:val="00C87619"/>
    <w:rsid w:val="00CB11A9"/>
    <w:rsid w:val="00CC2C7E"/>
    <w:rsid w:val="00CC3F04"/>
    <w:rsid w:val="00CF5BA2"/>
    <w:rsid w:val="00CF5CB2"/>
    <w:rsid w:val="00CF6767"/>
    <w:rsid w:val="00DA5302"/>
    <w:rsid w:val="00DC4C5C"/>
    <w:rsid w:val="00E21EDA"/>
    <w:rsid w:val="00E22462"/>
    <w:rsid w:val="00E32E78"/>
    <w:rsid w:val="00E52D7B"/>
    <w:rsid w:val="00E55750"/>
    <w:rsid w:val="00E84821"/>
    <w:rsid w:val="00EA212E"/>
    <w:rsid w:val="00EB09B7"/>
    <w:rsid w:val="00EB1ECA"/>
    <w:rsid w:val="00EC38B6"/>
    <w:rsid w:val="00ED2E5A"/>
    <w:rsid w:val="00ED4520"/>
    <w:rsid w:val="00EF3A64"/>
    <w:rsid w:val="00F12F56"/>
    <w:rsid w:val="00F144F2"/>
    <w:rsid w:val="00F42295"/>
    <w:rsid w:val="00F624F6"/>
    <w:rsid w:val="00F629C6"/>
    <w:rsid w:val="00FE03F2"/>
    <w:rsid w:val="00FE7E30"/>
    <w:rsid w:val="15B51968"/>
    <w:rsid w:val="286046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2C28B"/>
  <w15:docId w15:val="{2293F457-294E-43AD-A16C-20653EDC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028"/>
      <w:outlineLvl w:val="0"/>
    </w:pPr>
    <w:rPr>
      <w:rFonts w:ascii="Calibri" w:eastAsia="Calibri" w:hAnsi="Calibri"/>
      <w:b/>
      <w:bCs/>
      <w:sz w:val="24"/>
      <w:szCs w:val="24"/>
    </w:rPr>
  </w:style>
  <w:style w:type="paragraph" w:styleId="Heading2">
    <w:name w:val="heading 2"/>
    <w:basedOn w:val="Normal"/>
    <w:uiPriority w:val="9"/>
    <w:unhideWhenUsed/>
    <w:qFormat/>
    <w:pPr>
      <w:ind w:left="205"/>
      <w:outlineLvl w:val="1"/>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4" w:hanging="36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2295"/>
    <w:pPr>
      <w:tabs>
        <w:tab w:val="center" w:pos="4680"/>
        <w:tab w:val="right" w:pos="9360"/>
      </w:tabs>
    </w:pPr>
  </w:style>
  <w:style w:type="character" w:customStyle="1" w:styleId="HeaderChar">
    <w:name w:val="Header Char"/>
    <w:basedOn w:val="DefaultParagraphFont"/>
    <w:link w:val="Header"/>
    <w:uiPriority w:val="99"/>
    <w:rsid w:val="00F42295"/>
  </w:style>
  <w:style w:type="paragraph" w:styleId="Footer">
    <w:name w:val="footer"/>
    <w:basedOn w:val="Normal"/>
    <w:link w:val="FooterChar"/>
    <w:uiPriority w:val="99"/>
    <w:unhideWhenUsed/>
    <w:rsid w:val="00F42295"/>
    <w:pPr>
      <w:tabs>
        <w:tab w:val="center" w:pos="4680"/>
        <w:tab w:val="right" w:pos="9360"/>
      </w:tabs>
    </w:pPr>
  </w:style>
  <w:style w:type="character" w:customStyle="1" w:styleId="FooterChar">
    <w:name w:val="Footer Char"/>
    <w:basedOn w:val="DefaultParagraphFont"/>
    <w:link w:val="Footer"/>
    <w:uiPriority w:val="99"/>
    <w:rsid w:val="00F42295"/>
  </w:style>
  <w:style w:type="paragraph" w:customStyle="1" w:styleId="Default">
    <w:name w:val="Default"/>
    <w:rsid w:val="008E116E"/>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tario.ca/fr/lois/loi/10b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oingbusiness.mgs.gov.on.ca/mbs/psb/psb.nsf/Attachments/BPSProcDir-pdf-fre/$FILE/bps_procurement_directive-fre.pdf" TargetMode="External"/><Relationship Id="rId4" Type="http://schemas.openxmlformats.org/officeDocument/2006/relationships/settings" Target="settings.xml"/><Relationship Id="rId9" Type="http://schemas.openxmlformats.org/officeDocument/2006/relationships/hyperlink" Target="https://www.doingbusiness.mgs.gov.on.ca/mbs/psb/psb.nsf/Attachments/BPSProcDir-pdf-fre/$FILE/bps_procurement_directive-fr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9F0C-5C0E-4C28-A1F3-514C0207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Links>
    <vt:vector size="18" baseType="variant">
      <vt:variant>
        <vt:i4>4063346</vt:i4>
      </vt:variant>
      <vt:variant>
        <vt:i4>6</vt:i4>
      </vt:variant>
      <vt:variant>
        <vt:i4>0</vt:i4>
      </vt:variant>
      <vt:variant>
        <vt:i4>5</vt:i4>
      </vt:variant>
      <vt:variant>
        <vt:lpwstr>https://www.doingbusiness.mgs.gov.on.ca/mbs/psb/psb.nsf/EN/bps-procurementdirective</vt:lpwstr>
      </vt:variant>
      <vt:variant>
        <vt:lpwstr/>
      </vt:variant>
      <vt:variant>
        <vt:i4>4063346</vt:i4>
      </vt:variant>
      <vt:variant>
        <vt:i4>3</vt:i4>
      </vt:variant>
      <vt:variant>
        <vt:i4>0</vt:i4>
      </vt:variant>
      <vt:variant>
        <vt:i4>5</vt:i4>
      </vt:variant>
      <vt:variant>
        <vt:lpwstr>https://www.doingbusiness.mgs.gov.on.ca/mbs/psb/psb.nsf/EN/bps-procurementdirective</vt:lpwstr>
      </vt:variant>
      <vt:variant>
        <vt:lpwstr/>
      </vt:variant>
      <vt:variant>
        <vt:i4>1507348</vt:i4>
      </vt:variant>
      <vt:variant>
        <vt:i4>0</vt:i4>
      </vt:variant>
      <vt:variant>
        <vt:i4>0</vt:i4>
      </vt:variant>
      <vt:variant>
        <vt:i4>5</vt:i4>
      </vt:variant>
      <vt:variant>
        <vt:lpwstr>http://www.ontario.ca/laws/statute/10b25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Wilson</dc:creator>
  <cp:lastModifiedBy>Isabelle Lagacé</cp:lastModifiedBy>
  <cp:revision>13</cp:revision>
  <dcterms:created xsi:type="dcterms:W3CDTF">2022-12-06T15:21:00Z</dcterms:created>
  <dcterms:modified xsi:type="dcterms:W3CDTF">2022-12-12T18:36:00Z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LastSaved">
    <vt:filetime>2022-11-08T00:00:00Z</vt:filetime>
  </property>
</Properties>
</file>