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C28B" w14:textId="77777777" w:rsidR="00F624F6" w:rsidRDefault="00F624F6">
      <w:pPr>
        <w:rPr>
          <w:rFonts w:ascii="Times New Roman" w:eastAsia="Times New Roman" w:hAnsi="Times New Roman" w:cs="Times New Roman"/>
          <w:sz w:val="20"/>
          <w:szCs w:val="20"/>
        </w:rPr>
      </w:pPr>
    </w:p>
    <w:p w14:paraId="0712C28C" w14:textId="77777777" w:rsidR="00F624F6" w:rsidRDefault="00F624F6">
      <w:pPr>
        <w:rPr>
          <w:rFonts w:ascii="Times New Roman" w:eastAsia="Times New Roman" w:hAnsi="Times New Roman" w:cs="Times New Roman"/>
          <w:sz w:val="20"/>
          <w:szCs w:val="20"/>
        </w:rPr>
      </w:pPr>
    </w:p>
    <w:p w14:paraId="0712C28D" w14:textId="11C0481C" w:rsidR="00F624F6" w:rsidRDefault="00F12F56">
      <w:pPr>
        <w:spacing w:before="181"/>
        <w:ind w:left="100"/>
        <w:rPr>
          <w:rFonts w:ascii="Calibri" w:eastAsia="Calibri" w:hAnsi="Calibri" w:cs="Calibri"/>
          <w:sz w:val="40"/>
          <w:szCs w:val="40"/>
        </w:rPr>
      </w:pPr>
      <w:r>
        <w:rPr>
          <w:rFonts w:ascii="Calibri"/>
          <w:b/>
          <w:color w:val="1F5668"/>
          <w:sz w:val="40"/>
        </w:rPr>
        <w:t>Programme de démonstration de technologies du CCN</w:t>
      </w:r>
    </w:p>
    <w:p w14:paraId="0712C28E" w14:textId="77777777" w:rsidR="00F624F6" w:rsidRDefault="00913D26">
      <w:pPr>
        <w:pStyle w:val="Heading2"/>
        <w:spacing w:before="162"/>
        <w:rPr>
          <w:b w:val="0"/>
          <w:bCs w:val="0"/>
        </w:rPr>
      </w:pPr>
      <w:bookmarkStart w:id="0" w:name="Eligible_Use_of_Funds:"/>
      <w:bookmarkEnd w:id="0"/>
      <w:r>
        <w:t>Utilisation admissible des fonds :</w:t>
      </w:r>
    </w:p>
    <w:p w14:paraId="0712C28F" w14:textId="35E34F4B" w:rsidR="00F624F6" w:rsidRDefault="00913D26">
      <w:pPr>
        <w:pStyle w:val="BodyText"/>
        <w:spacing w:before="1"/>
        <w:ind w:left="205" w:right="459" w:firstLine="0"/>
      </w:pPr>
      <w:r>
        <w:t>Les dépenses admissibles comprennent les coûts et les activités directement liés à la réalisation des objectifs pour lesquels le financement du CIO a été accordé. Toutes les activités d’approvisionnement doivent se conformer à la</w:t>
      </w:r>
      <w:r>
        <w:rPr>
          <w:color w:val="5D859F"/>
        </w:rPr>
        <w:t xml:space="preserve"> </w:t>
      </w:r>
      <w:hyperlink r:id="rId8">
        <w:r>
          <w:rPr>
            <w:color w:val="5D859F"/>
            <w:u w:val="single" w:color="5D859F"/>
          </w:rPr>
          <w:t xml:space="preserve">Loi de 2010 sur la responsabilisation du secteur parapublic </w:t>
        </w:r>
      </w:hyperlink>
      <w:r>
        <w:t>.</w:t>
      </w:r>
    </w:p>
    <w:p w14:paraId="0712C290" w14:textId="77777777" w:rsidR="00F624F6" w:rsidRDefault="00F624F6">
      <w:pPr>
        <w:spacing w:before="12"/>
        <w:rPr>
          <w:rFonts w:ascii="Calibri" w:eastAsia="Calibri" w:hAnsi="Calibri" w:cs="Calibri"/>
          <w:sz w:val="13"/>
          <w:szCs w:val="13"/>
        </w:rPr>
      </w:pPr>
    </w:p>
    <w:p w14:paraId="0712C291" w14:textId="77777777" w:rsidR="00F624F6" w:rsidRDefault="00913D26">
      <w:pPr>
        <w:pStyle w:val="Heading2"/>
        <w:spacing w:before="65"/>
        <w:rPr>
          <w:b w:val="0"/>
          <w:bCs w:val="0"/>
        </w:rPr>
      </w:pPr>
      <w:bookmarkStart w:id="1" w:name="Eligible_Expenses:"/>
      <w:bookmarkEnd w:id="1"/>
      <w:r>
        <w:t>Dépenses admissibles :</w:t>
      </w:r>
    </w:p>
    <w:p w14:paraId="0712C293" w14:textId="5335964E" w:rsidR="00F624F6" w:rsidRPr="00312FCB" w:rsidRDefault="00913D26" w:rsidP="00312FCB">
      <w:pPr>
        <w:pStyle w:val="BodyText"/>
        <w:numPr>
          <w:ilvl w:val="0"/>
          <w:numId w:val="4"/>
        </w:numPr>
        <w:tabs>
          <w:tab w:val="left" w:pos="721"/>
        </w:tabs>
        <w:spacing w:before="1"/>
        <w:ind w:right="459"/>
      </w:pPr>
      <w:r>
        <w:t>Coûts réels qui sont nécessaires et directement attribuables à la réalisation du projet et qui ne sont pas entièrement ou partiellement destinés à un autre but. Les coûts admissibles sont des dépenses réelles en argent qui doivent être documentées au moyen de factures et de preuves de paiement. Ces coûts peuvent faire l’objet d’une vérification par un auditeur indépendant.</w:t>
      </w:r>
    </w:p>
    <w:p w14:paraId="64F18789" w14:textId="77777777" w:rsidR="00312FCB" w:rsidRDefault="00312FCB" w:rsidP="00312FCB">
      <w:pPr>
        <w:pStyle w:val="BodyText"/>
        <w:tabs>
          <w:tab w:val="left" w:pos="721"/>
        </w:tabs>
        <w:spacing w:before="1"/>
        <w:ind w:left="720" w:right="459" w:firstLine="0"/>
      </w:pPr>
    </w:p>
    <w:p w14:paraId="0712C294" w14:textId="445C2EFF" w:rsidR="00F624F6" w:rsidRPr="00A625D2" w:rsidRDefault="00913D26">
      <w:pPr>
        <w:pStyle w:val="BodyText"/>
        <w:spacing w:before="1"/>
        <w:ind w:left="205" w:firstLine="0"/>
        <w:rPr>
          <w:strike/>
        </w:rPr>
      </w:pPr>
      <w:r>
        <w:t>Les preuves de paiement doivent être conservées aux fins d’audit. Les coûts engagés à l'extérieur de l’Ontario ne sont pas admissibles, sauf s’ils sont approuvés par le CIO.</w:t>
      </w:r>
    </w:p>
    <w:p w14:paraId="0712C295" w14:textId="77777777" w:rsidR="00F624F6" w:rsidRDefault="00F624F6">
      <w:pPr>
        <w:spacing w:before="5"/>
        <w:rPr>
          <w:rFonts w:ascii="Calibri" w:eastAsia="Calibri" w:hAnsi="Calibri" w:cs="Calibri"/>
          <w:sz w:val="21"/>
          <w:szCs w:val="21"/>
        </w:rPr>
      </w:pPr>
    </w:p>
    <w:p w14:paraId="0712C296" w14:textId="77777777" w:rsidR="00F624F6" w:rsidRDefault="00913D26">
      <w:pPr>
        <w:pStyle w:val="Heading2"/>
        <w:rPr>
          <w:b w:val="0"/>
          <w:bCs w:val="0"/>
        </w:rPr>
      </w:pPr>
      <w:bookmarkStart w:id="2" w:name="Retroactive_Expenses:"/>
      <w:bookmarkEnd w:id="2"/>
      <w:r>
        <w:t>Dépenses rétroactives :</w:t>
      </w:r>
    </w:p>
    <w:p w14:paraId="0712C297" w14:textId="77777777" w:rsidR="00F624F6" w:rsidRDefault="00913D26">
      <w:pPr>
        <w:pStyle w:val="BodyText"/>
        <w:spacing w:before="1"/>
        <w:ind w:left="205" w:firstLine="0"/>
      </w:pPr>
      <w:r>
        <w:t>Le CIO reconnaîtra les dépenses après la date d’approbation. Jusqu’à l’approbation de la demande et le démarrage du programme, toute dépense du demandeur est à ses propres risques.</w:t>
      </w:r>
    </w:p>
    <w:p w14:paraId="0712C298" w14:textId="77777777" w:rsidR="00F624F6" w:rsidRDefault="00F624F6">
      <w:pPr>
        <w:spacing w:before="4"/>
        <w:rPr>
          <w:rFonts w:ascii="Calibri" w:eastAsia="Calibri" w:hAnsi="Calibri" w:cs="Calibri"/>
          <w:sz w:val="19"/>
          <w:szCs w:val="19"/>
        </w:rPr>
      </w:pPr>
    </w:p>
    <w:p w14:paraId="0712C29C" w14:textId="4B419953" w:rsidR="00F624F6" w:rsidRDefault="00913D26">
      <w:pPr>
        <w:pStyle w:val="Heading2"/>
        <w:rPr>
          <w:b w:val="0"/>
          <w:bCs w:val="0"/>
        </w:rPr>
      </w:pPr>
      <w:bookmarkStart w:id="3" w:name="Institutional_Overhead:"/>
      <w:bookmarkStart w:id="4" w:name="Public_leverage_of_OVIN_contribution:"/>
      <w:bookmarkEnd w:id="3"/>
      <w:bookmarkEnd w:id="4"/>
      <w:r>
        <w:t>Financement public de la contribution du CCN :</w:t>
      </w:r>
    </w:p>
    <w:p w14:paraId="0712C29D" w14:textId="50DAA427" w:rsidR="00F624F6" w:rsidRDefault="00913D26">
      <w:pPr>
        <w:pStyle w:val="BodyText"/>
        <w:spacing w:before="1"/>
        <w:ind w:left="205" w:right="201" w:firstLine="0"/>
      </w:pPr>
      <w:r>
        <w:t>Les contributions de contrepartie des partenaires doivent provenir de sources privées. Le financement du CCN ou les contributions des partenaires au projet ne peuvent servir à mobiliser des fonds publics supplémentaires (d’organismes municipaux, provinciaux ou fédéraux, y compris d’entités sur lesquelles ils exercent un contrôle direct) pour soutenir la réalisation des mêmes activités et l’atteinte des mêmes jalons du projet.</w:t>
      </w:r>
    </w:p>
    <w:p w14:paraId="0712C29E" w14:textId="77777777" w:rsidR="00F624F6" w:rsidRDefault="00F624F6">
      <w:pPr>
        <w:spacing w:before="9"/>
        <w:rPr>
          <w:rFonts w:ascii="Calibri" w:eastAsia="Calibri" w:hAnsi="Calibri" w:cs="Calibri"/>
          <w:sz w:val="19"/>
          <w:szCs w:val="19"/>
        </w:rPr>
      </w:pPr>
    </w:p>
    <w:p w14:paraId="0712C2A6" w14:textId="77777777" w:rsidR="00F624F6" w:rsidRPr="00DA5302" w:rsidRDefault="00F624F6">
      <w:pPr>
        <w:spacing w:before="9"/>
        <w:rPr>
          <w:rFonts w:ascii="Calibri" w:eastAsia="Calibri" w:hAnsi="Calibri" w:cs="Calibri"/>
          <w:strike/>
          <w:sz w:val="19"/>
          <w:szCs w:val="19"/>
        </w:rPr>
      </w:pPr>
      <w:bookmarkStart w:id="5" w:name="Founder’s_Salary:"/>
      <w:bookmarkEnd w:id="5"/>
    </w:p>
    <w:p w14:paraId="0712C2AA" w14:textId="77777777" w:rsidR="00F624F6" w:rsidRDefault="00913D26">
      <w:pPr>
        <w:pStyle w:val="Heading2"/>
        <w:rPr>
          <w:b w:val="0"/>
          <w:bCs w:val="0"/>
        </w:rPr>
      </w:pPr>
      <w:bookmarkStart w:id="6" w:name="Capital_Costs:"/>
      <w:bookmarkStart w:id="7" w:name="Notes:"/>
      <w:bookmarkEnd w:id="6"/>
      <w:bookmarkEnd w:id="7"/>
      <w:r>
        <w:t>Remarque :</w:t>
      </w:r>
    </w:p>
    <w:p w14:paraId="0712C2AE" w14:textId="5A8DE6D6" w:rsidR="00F624F6" w:rsidRDefault="00913D26" w:rsidP="009B06B0">
      <w:pPr>
        <w:pStyle w:val="BodyText"/>
        <w:spacing w:before="161"/>
        <w:ind w:left="205" w:firstLine="0"/>
      </w:pPr>
      <w:r>
        <w:rPr>
          <w:b/>
        </w:rPr>
        <w:t xml:space="preserve">Les PCGR </w:t>
      </w:r>
      <w:r>
        <w:t>sont un ensemble de règles et de normes comptables couramment appliquées pour la communication de l’information financière. Les PCGR visent à assurer une communication transparente</w:t>
      </w:r>
      <w:r w:rsidR="009B06B0">
        <w:t xml:space="preserve"> </w:t>
      </w:r>
      <w:r>
        <w:t>et uniforme de l’information financière, d’une organisation à l’autre.</w:t>
      </w:r>
    </w:p>
    <w:p w14:paraId="0712C2B1" w14:textId="77777777" w:rsidR="00F624F6" w:rsidRDefault="00F624F6">
      <w:pPr>
        <w:spacing w:before="9"/>
        <w:rPr>
          <w:rFonts w:ascii="Calibri" w:eastAsia="Calibri" w:hAnsi="Calibri" w:cs="Calibri"/>
          <w:sz w:val="19"/>
          <w:szCs w:val="19"/>
        </w:rPr>
      </w:pPr>
    </w:p>
    <w:p w14:paraId="0712C2D6" w14:textId="77777777" w:rsidR="00F624F6" w:rsidRDefault="00F624F6">
      <w:pPr>
        <w:rPr>
          <w:rFonts w:ascii="Calibri" w:eastAsia="Calibri" w:hAnsi="Calibri" w:cs="Calibri"/>
          <w:b/>
          <w:bCs/>
          <w:sz w:val="20"/>
          <w:szCs w:val="20"/>
        </w:rPr>
      </w:pPr>
      <w:bookmarkStart w:id="8" w:name="Travel_outside_of_the_province_of_Ontari"/>
      <w:bookmarkEnd w:id="8"/>
    </w:p>
    <w:p w14:paraId="0712C2D7" w14:textId="77777777" w:rsidR="00F624F6" w:rsidRDefault="00F624F6">
      <w:pPr>
        <w:rPr>
          <w:rFonts w:ascii="Calibri" w:eastAsia="Calibri" w:hAnsi="Calibri" w:cs="Calibri"/>
          <w:b/>
          <w:bCs/>
          <w:sz w:val="20"/>
          <w:szCs w:val="20"/>
        </w:rPr>
      </w:pPr>
    </w:p>
    <w:p w14:paraId="152079D4" w14:textId="77777777" w:rsidR="007955C8" w:rsidRDefault="007955C8">
      <w:pPr>
        <w:pStyle w:val="Heading1"/>
        <w:spacing w:before="212"/>
        <w:ind w:right="5953"/>
        <w:jc w:val="center"/>
        <w:rPr>
          <w:spacing w:val="-2"/>
        </w:rPr>
      </w:pPr>
      <w:bookmarkStart w:id="9" w:name="OPERATING_EXPENSES:"/>
      <w:bookmarkEnd w:id="9"/>
    </w:p>
    <w:p w14:paraId="3BB2775E" w14:textId="77777777" w:rsidR="001B204D" w:rsidRDefault="001B204D">
      <w:pPr>
        <w:pStyle w:val="Heading1"/>
        <w:spacing w:before="212"/>
        <w:ind w:right="5953"/>
        <w:jc w:val="center"/>
        <w:rPr>
          <w:spacing w:val="-2"/>
        </w:rPr>
      </w:pPr>
    </w:p>
    <w:p w14:paraId="5A3CC270" w14:textId="77777777" w:rsidR="001B204D" w:rsidRDefault="001B204D">
      <w:pPr>
        <w:pStyle w:val="Heading1"/>
        <w:spacing w:before="212"/>
        <w:ind w:right="5953"/>
        <w:jc w:val="center"/>
        <w:rPr>
          <w:spacing w:val="-2"/>
        </w:rPr>
      </w:pPr>
    </w:p>
    <w:p w14:paraId="54E64413" w14:textId="77777777" w:rsidR="001B204D" w:rsidRDefault="001B204D">
      <w:pPr>
        <w:pStyle w:val="Heading1"/>
        <w:spacing w:before="212"/>
        <w:ind w:right="5953"/>
        <w:jc w:val="center"/>
        <w:rPr>
          <w:spacing w:val="-2"/>
        </w:rPr>
      </w:pPr>
    </w:p>
    <w:p w14:paraId="0712C2D8" w14:textId="076A324D" w:rsidR="00F624F6" w:rsidRDefault="00C504D3" w:rsidP="009B06B0">
      <w:pPr>
        <w:pStyle w:val="Heading1"/>
        <w:spacing w:before="212"/>
        <w:ind w:left="5670" w:right="5953"/>
        <w:jc w:val="center"/>
        <w:rPr>
          <w:b w:val="0"/>
          <w:bCs w:val="0"/>
        </w:rPr>
      </w:pPr>
      <w:r>
        <w:lastRenderedPageBreak/>
        <w:t>DÉPENSES D'EXPLOITATION</w:t>
      </w:r>
    </w:p>
    <w:p w14:paraId="0712C2D9" w14:textId="77777777" w:rsidR="00F624F6" w:rsidRDefault="00F624F6">
      <w:pPr>
        <w:spacing w:before="8"/>
        <w:rPr>
          <w:rFonts w:ascii="Calibri" w:eastAsia="Calibri" w:hAnsi="Calibri" w:cs="Calibri"/>
          <w:b/>
          <w:bCs/>
          <w:sz w:val="10"/>
          <w:szCs w:val="10"/>
        </w:rPr>
      </w:pPr>
    </w:p>
    <w:tbl>
      <w:tblPr>
        <w:tblW w:w="14509" w:type="dxa"/>
        <w:tblInd w:w="229" w:type="dxa"/>
        <w:tblLayout w:type="fixed"/>
        <w:tblCellMar>
          <w:left w:w="0" w:type="dxa"/>
          <w:right w:w="0" w:type="dxa"/>
        </w:tblCellMar>
        <w:tblLook w:val="01E0" w:firstRow="1" w:lastRow="1" w:firstColumn="1" w:lastColumn="1" w:noHBand="0" w:noVBand="0"/>
      </w:tblPr>
      <w:tblGrid>
        <w:gridCol w:w="7231"/>
        <w:gridCol w:w="7278"/>
      </w:tblGrid>
      <w:tr w:rsidR="00F624F6" w14:paraId="0712C2DC" w14:textId="77777777" w:rsidTr="007955C8">
        <w:trPr>
          <w:trHeight w:hRule="exact" w:val="345"/>
        </w:trPr>
        <w:tc>
          <w:tcPr>
            <w:tcW w:w="7231" w:type="dxa"/>
            <w:tcBorders>
              <w:top w:val="single" w:sz="5" w:space="0" w:color="E14E35"/>
              <w:left w:val="single" w:sz="5" w:space="0" w:color="E14E35"/>
              <w:bottom w:val="single" w:sz="0" w:space="0" w:color="E14E35"/>
              <w:right w:val="single" w:sz="5" w:space="0" w:color="E14E35"/>
            </w:tcBorders>
          </w:tcPr>
          <w:p w14:paraId="0712C2DA" w14:textId="77777777" w:rsidR="00F624F6" w:rsidRDefault="00913D26">
            <w:pPr>
              <w:pStyle w:val="TableParagraph"/>
              <w:spacing w:line="243" w:lineRule="exact"/>
              <w:ind w:left="103"/>
              <w:rPr>
                <w:rFonts w:ascii="Calibri" w:eastAsia="Calibri" w:hAnsi="Calibri" w:cs="Calibri"/>
                <w:sz w:val="20"/>
                <w:szCs w:val="20"/>
              </w:rPr>
            </w:pPr>
            <w:r>
              <w:rPr>
                <w:rFonts w:ascii="Calibri"/>
                <w:b/>
                <w:sz w:val="20"/>
              </w:rPr>
              <w:t>Dépenses admissibles</w:t>
            </w:r>
          </w:p>
        </w:tc>
        <w:tc>
          <w:tcPr>
            <w:tcW w:w="7278" w:type="dxa"/>
            <w:tcBorders>
              <w:top w:val="single" w:sz="5" w:space="0" w:color="E14E35"/>
              <w:left w:val="single" w:sz="5" w:space="0" w:color="E14E35"/>
              <w:bottom w:val="single" w:sz="3" w:space="0" w:color="E14E35"/>
              <w:right w:val="nil"/>
            </w:tcBorders>
            <w:shd w:val="clear" w:color="auto" w:fill="E14E35"/>
          </w:tcPr>
          <w:p w14:paraId="0712C2DB" w14:textId="77777777" w:rsidR="00F624F6" w:rsidRDefault="00913D26">
            <w:pPr>
              <w:pStyle w:val="TableParagraph"/>
              <w:spacing w:line="243" w:lineRule="exact"/>
              <w:ind w:left="103"/>
              <w:rPr>
                <w:rFonts w:ascii="Calibri" w:eastAsia="Calibri" w:hAnsi="Calibri" w:cs="Calibri"/>
                <w:sz w:val="20"/>
                <w:szCs w:val="20"/>
              </w:rPr>
            </w:pPr>
            <w:r>
              <w:rPr>
                <w:rFonts w:ascii="Calibri"/>
                <w:b/>
                <w:color w:val="FFFFFF"/>
                <w:sz w:val="20"/>
              </w:rPr>
              <w:t>Dépenses inadmissibles</w:t>
            </w:r>
          </w:p>
        </w:tc>
      </w:tr>
      <w:tr w:rsidR="00F624F6" w14:paraId="0712C301" w14:textId="77777777" w:rsidTr="00B00ED0">
        <w:trPr>
          <w:trHeight w:hRule="exact" w:val="8951"/>
        </w:trPr>
        <w:tc>
          <w:tcPr>
            <w:tcW w:w="7231" w:type="dxa"/>
            <w:tcBorders>
              <w:top w:val="single" w:sz="0" w:space="0" w:color="E14E35"/>
              <w:left w:val="single" w:sz="5" w:space="0" w:color="E14E35"/>
              <w:bottom w:val="single" w:sz="0" w:space="0" w:color="E14E35"/>
              <w:right w:val="single" w:sz="5" w:space="0" w:color="E14E35"/>
            </w:tcBorders>
          </w:tcPr>
          <w:p w14:paraId="69F62683" w14:textId="2B5869FB" w:rsidR="00B23BD2" w:rsidRPr="007D0932" w:rsidRDefault="00371B83" w:rsidP="0071433D">
            <w:pPr>
              <w:pStyle w:val="ListParagraph"/>
              <w:widowControl/>
              <w:numPr>
                <w:ilvl w:val="0"/>
                <w:numId w:val="9"/>
              </w:numPr>
              <w:spacing w:after="200" w:line="276" w:lineRule="auto"/>
              <w:contextualSpacing/>
              <w:jc w:val="both"/>
              <w:rPr>
                <w:rFonts w:ascii="Calibri" w:eastAsia="Calibri" w:hAnsi="Calibri" w:cs="Calibri"/>
                <w:sz w:val="18"/>
                <w:szCs w:val="18"/>
              </w:rPr>
            </w:pPr>
            <w:r w:rsidRPr="007D0932">
              <w:rPr>
                <w:rFonts w:ascii="Calibri" w:hAnsi="Calibri"/>
                <w:sz w:val="18"/>
                <w:szCs w:val="18"/>
              </w:rPr>
              <w:t>Les coûts du projet de démonstration de technologies liés à l’adoption de la technologie numérique précisée dans le PMAN.</w:t>
            </w:r>
          </w:p>
          <w:p w14:paraId="00181D25" w14:textId="3182F4AD" w:rsidR="0000309C" w:rsidRPr="007D0932" w:rsidRDefault="00034ACE" w:rsidP="0071433D">
            <w:pPr>
              <w:pStyle w:val="ListParagraph"/>
              <w:widowControl/>
              <w:numPr>
                <w:ilvl w:val="0"/>
                <w:numId w:val="9"/>
              </w:numPr>
              <w:spacing w:after="200" w:line="276" w:lineRule="auto"/>
              <w:contextualSpacing/>
              <w:jc w:val="both"/>
              <w:rPr>
                <w:rFonts w:ascii="Calibri" w:eastAsia="Calibri" w:hAnsi="Calibri" w:cs="Calibri"/>
                <w:sz w:val="18"/>
                <w:szCs w:val="18"/>
              </w:rPr>
            </w:pPr>
            <w:r w:rsidRPr="007D0932">
              <w:rPr>
                <w:rFonts w:ascii="Calibri" w:hAnsi="Calibri"/>
                <w:sz w:val="18"/>
                <w:szCs w:val="18"/>
              </w:rPr>
              <w:t>Les coûts liés à l’optimisation du moteur de recherche du site Web : remarque : le plan ne peut pas être strictement l’optimisation du moteur de recherche du site Web, il doit être lié au plan de mise en œuvre global de la technologie, et</w:t>
            </w:r>
            <w:r w:rsidR="009B06B0" w:rsidRPr="007D0932">
              <w:rPr>
                <w:rFonts w:ascii="Calibri" w:hAnsi="Calibri"/>
                <w:sz w:val="18"/>
                <w:szCs w:val="18"/>
              </w:rPr>
              <w:t> </w:t>
            </w:r>
            <w:r w:rsidRPr="007D0932">
              <w:rPr>
                <w:rFonts w:ascii="Calibri" w:hAnsi="Calibri"/>
                <w:sz w:val="18"/>
                <w:szCs w:val="18"/>
              </w:rPr>
              <w:t>non un élément autonome.</w:t>
            </w:r>
          </w:p>
          <w:p w14:paraId="162FA8C8" w14:textId="112C3987" w:rsidR="00244199" w:rsidRPr="007D0932" w:rsidRDefault="001F507C" w:rsidP="0071433D">
            <w:pPr>
              <w:pStyle w:val="ListParagraph"/>
              <w:widowControl/>
              <w:numPr>
                <w:ilvl w:val="0"/>
                <w:numId w:val="9"/>
              </w:numPr>
              <w:spacing w:after="200" w:line="276" w:lineRule="auto"/>
              <w:contextualSpacing/>
              <w:rPr>
                <w:rFonts w:ascii="Calibri" w:eastAsia="Calibri" w:hAnsi="Calibri" w:cs="Calibri"/>
                <w:sz w:val="18"/>
                <w:szCs w:val="18"/>
              </w:rPr>
            </w:pPr>
            <w:r w:rsidRPr="007D0932">
              <w:rPr>
                <w:rFonts w:ascii="Calibri" w:hAnsi="Calibri"/>
                <w:sz w:val="18"/>
                <w:szCs w:val="18"/>
              </w:rPr>
              <w:t>Les coûts liés à l’installation d’une plateforme technologique (y compris les frais et les coûts d’abonnement)</w:t>
            </w:r>
            <w:r w:rsidR="00173D60">
              <w:rPr>
                <w:rFonts w:ascii="Calibri" w:hAnsi="Calibri"/>
                <w:sz w:val="18"/>
                <w:szCs w:val="18"/>
              </w:rPr>
              <w:t>.</w:t>
            </w:r>
          </w:p>
          <w:p w14:paraId="5A160994" w14:textId="2CBA8CEA" w:rsidR="002050BD" w:rsidRPr="007D0932" w:rsidRDefault="002050BD" w:rsidP="0071433D">
            <w:pPr>
              <w:pStyle w:val="ListParagraph"/>
              <w:widowControl/>
              <w:numPr>
                <w:ilvl w:val="0"/>
                <w:numId w:val="9"/>
              </w:numPr>
              <w:spacing w:after="200" w:line="276" w:lineRule="auto"/>
              <w:contextualSpacing/>
              <w:rPr>
                <w:rFonts w:ascii="Calibri" w:eastAsia="Calibri" w:hAnsi="Calibri" w:cs="Calibri"/>
                <w:spacing w:val="-2"/>
                <w:sz w:val="18"/>
                <w:szCs w:val="18"/>
              </w:rPr>
            </w:pPr>
            <w:r w:rsidRPr="007D0932">
              <w:rPr>
                <w:rFonts w:ascii="Calibri" w:hAnsi="Calibri"/>
                <w:spacing w:val="-2"/>
                <w:sz w:val="18"/>
                <w:szCs w:val="18"/>
              </w:rPr>
              <w:t xml:space="preserve">Les coûts des solutions du service de soutien pour développer une stratégie </w:t>
            </w:r>
            <w:r w:rsidR="007D0932" w:rsidRPr="007D0932">
              <w:rPr>
                <w:rFonts w:ascii="Calibri" w:hAnsi="Calibri"/>
                <w:spacing w:val="-2"/>
                <w:sz w:val="18"/>
                <w:szCs w:val="18"/>
              </w:rPr>
              <w:t>technologique</w:t>
            </w:r>
            <w:r w:rsidRPr="007D0932">
              <w:rPr>
                <w:rFonts w:ascii="Calibri" w:hAnsi="Calibri"/>
                <w:spacing w:val="-2"/>
                <w:sz w:val="18"/>
                <w:szCs w:val="18"/>
              </w:rPr>
              <w:t>.</w:t>
            </w:r>
          </w:p>
          <w:p w14:paraId="053E713B" w14:textId="77777777" w:rsidR="002050BD" w:rsidRPr="007D0932" w:rsidRDefault="002050BD" w:rsidP="0071433D">
            <w:pPr>
              <w:pStyle w:val="ListParagraph"/>
              <w:widowControl/>
              <w:numPr>
                <w:ilvl w:val="0"/>
                <w:numId w:val="9"/>
              </w:numPr>
              <w:spacing w:after="200" w:line="276" w:lineRule="auto"/>
              <w:contextualSpacing/>
              <w:rPr>
                <w:rFonts w:ascii="Calibri" w:eastAsia="Calibri" w:hAnsi="Calibri" w:cs="Calibri"/>
                <w:sz w:val="18"/>
                <w:szCs w:val="18"/>
              </w:rPr>
            </w:pPr>
            <w:r w:rsidRPr="007D0932">
              <w:rPr>
                <w:rFonts w:ascii="Calibri" w:hAnsi="Calibri"/>
                <w:sz w:val="18"/>
                <w:szCs w:val="18"/>
              </w:rPr>
              <w:t>Les coûts de la publicité dans les médias sociaux – remarque : le plan ne peut pas être strictement de la publicité dans les médias sociaux, il doit être lié au plan de mise en œuvre global de la technologie, et non un élément autonome.</w:t>
            </w:r>
          </w:p>
          <w:p w14:paraId="148B4AF1" w14:textId="68A7A7F0" w:rsidR="00A555FE" w:rsidRPr="007D0932" w:rsidRDefault="00A555FE" w:rsidP="0071433D">
            <w:pPr>
              <w:pStyle w:val="ListParagraph"/>
              <w:widowControl/>
              <w:numPr>
                <w:ilvl w:val="0"/>
                <w:numId w:val="9"/>
              </w:numPr>
              <w:spacing w:after="200" w:line="276" w:lineRule="auto"/>
              <w:contextualSpacing/>
              <w:rPr>
                <w:rFonts w:ascii="Calibri" w:eastAsia="Calibri" w:hAnsi="Calibri" w:cs="Calibri"/>
                <w:sz w:val="18"/>
                <w:szCs w:val="18"/>
              </w:rPr>
            </w:pPr>
            <w:r w:rsidRPr="007D0932">
              <w:rPr>
                <w:rFonts w:ascii="Calibri" w:hAnsi="Calibri"/>
                <w:sz w:val="18"/>
                <w:szCs w:val="18"/>
              </w:rPr>
              <w:t>Les coûts de la création des bases de données clients</w:t>
            </w:r>
            <w:r w:rsidR="00173D60">
              <w:rPr>
                <w:rFonts w:ascii="Calibri" w:hAnsi="Calibri"/>
                <w:sz w:val="18"/>
                <w:szCs w:val="18"/>
              </w:rPr>
              <w:t>.</w:t>
            </w:r>
          </w:p>
          <w:p w14:paraId="074988EE" w14:textId="02E28F5D" w:rsidR="00067BD1" w:rsidRPr="007D0932" w:rsidRDefault="00067BD1" w:rsidP="0071433D">
            <w:pPr>
              <w:pStyle w:val="ListParagraph"/>
              <w:widowControl/>
              <w:numPr>
                <w:ilvl w:val="0"/>
                <w:numId w:val="9"/>
              </w:numPr>
              <w:spacing w:after="200" w:line="276" w:lineRule="auto"/>
              <w:contextualSpacing/>
              <w:rPr>
                <w:rFonts w:ascii="Calibri" w:eastAsia="Calibri" w:hAnsi="Calibri" w:cs="Calibri"/>
                <w:sz w:val="18"/>
                <w:szCs w:val="18"/>
              </w:rPr>
            </w:pPr>
            <w:r w:rsidRPr="007D0932">
              <w:rPr>
                <w:rFonts w:ascii="Calibri" w:hAnsi="Calibri"/>
                <w:sz w:val="18"/>
                <w:szCs w:val="18"/>
              </w:rPr>
              <w:t>Le développement d’une nouvelle technologie</w:t>
            </w:r>
            <w:r w:rsidR="00173D60">
              <w:rPr>
                <w:rFonts w:ascii="Calibri" w:hAnsi="Calibri"/>
                <w:sz w:val="18"/>
                <w:szCs w:val="18"/>
              </w:rPr>
              <w:t>.</w:t>
            </w:r>
          </w:p>
          <w:p w14:paraId="0B7F8E9F" w14:textId="0FFA1E4B" w:rsidR="00960AB9" w:rsidRPr="007D0932" w:rsidRDefault="00960AB9" w:rsidP="0071433D">
            <w:pPr>
              <w:pStyle w:val="ListParagraph"/>
              <w:widowControl/>
              <w:numPr>
                <w:ilvl w:val="0"/>
                <w:numId w:val="9"/>
              </w:numPr>
              <w:rPr>
                <w:rFonts w:cstheme="minorHAnsi"/>
                <w:sz w:val="18"/>
                <w:szCs w:val="18"/>
              </w:rPr>
            </w:pPr>
            <w:r w:rsidRPr="007D0932">
              <w:rPr>
                <w:sz w:val="18"/>
                <w:szCs w:val="18"/>
              </w:rPr>
              <w:t xml:space="preserve">Les salaires des techniciens </w:t>
            </w:r>
            <w:r w:rsidRPr="007D0932">
              <w:rPr>
                <w:b/>
                <w:bCs/>
                <w:sz w:val="18"/>
                <w:szCs w:val="18"/>
              </w:rPr>
              <w:t>qui prennent directement part au projet de démonstration</w:t>
            </w:r>
            <w:r w:rsidRPr="007D0932">
              <w:rPr>
                <w:sz w:val="18"/>
                <w:szCs w:val="18"/>
              </w:rPr>
              <w:t xml:space="preserve"> et sont essentiels à l’installation ou intégration de la technologie numérique (excluant les avantages sociaux). Autrement dit, il s’agit des coûts de main-d’œuvre non récurrents directement associés à l’élaboration et à la mise en œuvre du projet (par exemple pour l’installation ou la mise en service de nouveau matériel, de nouvelles technologies ou de nouveaux systèmes pour le projet) Remarque :</w:t>
            </w:r>
          </w:p>
          <w:p w14:paraId="378F17D8" w14:textId="77777777" w:rsidR="00960AB9" w:rsidRPr="007D0932" w:rsidRDefault="00960AB9" w:rsidP="0071433D">
            <w:pPr>
              <w:pStyle w:val="ListParagraph"/>
              <w:widowControl/>
              <w:numPr>
                <w:ilvl w:val="1"/>
                <w:numId w:val="9"/>
              </w:numPr>
              <w:rPr>
                <w:rFonts w:cstheme="minorHAnsi"/>
                <w:sz w:val="18"/>
                <w:szCs w:val="18"/>
              </w:rPr>
            </w:pPr>
            <w:r w:rsidRPr="007D0932">
              <w:rPr>
                <w:sz w:val="18"/>
                <w:szCs w:val="18"/>
              </w:rPr>
              <w:t xml:space="preserve">Les dépenses </w:t>
            </w:r>
            <w:proofErr w:type="gramStart"/>
            <w:r w:rsidRPr="007D0932">
              <w:rPr>
                <w:sz w:val="18"/>
                <w:szCs w:val="18"/>
              </w:rPr>
              <w:t>continues</w:t>
            </w:r>
            <w:proofErr w:type="gramEnd"/>
            <w:r w:rsidRPr="007D0932">
              <w:rPr>
                <w:sz w:val="18"/>
                <w:szCs w:val="18"/>
              </w:rPr>
              <w:t xml:space="preserve"> liées aux activités et à la main-d’œuvre de production ne sont pas admissibles.</w:t>
            </w:r>
          </w:p>
          <w:p w14:paraId="10C612EA" w14:textId="50E5D1A0" w:rsidR="007C222F" w:rsidRPr="007D0932" w:rsidRDefault="00960AB9" w:rsidP="0071433D">
            <w:pPr>
              <w:pStyle w:val="ListParagraph"/>
              <w:widowControl/>
              <w:numPr>
                <w:ilvl w:val="1"/>
                <w:numId w:val="9"/>
              </w:numPr>
              <w:rPr>
                <w:rFonts w:cstheme="minorHAnsi"/>
                <w:sz w:val="18"/>
                <w:szCs w:val="18"/>
              </w:rPr>
            </w:pPr>
            <w:r w:rsidRPr="007D0932">
              <w:rPr>
                <w:sz w:val="18"/>
                <w:szCs w:val="18"/>
              </w:rPr>
              <w:t xml:space="preserve">Le bénéficiaire devra s’assurer de tenir des feuilles de temps ou des documents de paye appropriés pour tous les employés qui collaborent directement au projet, pour permettre de confirmer le temps consacré à travailler sur le projet et les dépenses aux fins de vérification. </w:t>
            </w:r>
          </w:p>
          <w:p w14:paraId="188D45B8" w14:textId="77777777" w:rsidR="00067BD1" w:rsidRPr="007D0932" w:rsidRDefault="00067BD1" w:rsidP="0071433D">
            <w:pPr>
              <w:pStyle w:val="ListParagraph"/>
              <w:widowControl/>
              <w:numPr>
                <w:ilvl w:val="0"/>
                <w:numId w:val="9"/>
              </w:numPr>
              <w:spacing w:after="200" w:line="276" w:lineRule="auto"/>
              <w:contextualSpacing/>
              <w:rPr>
                <w:rFonts w:ascii="Calibri" w:eastAsia="Calibri" w:hAnsi="Calibri" w:cs="Calibri"/>
                <w:sz w:val="18"/>
                <w:szCs w:val="18"/>
              </w:rPr>
            </w:pPr>
            <w:r w:rsidRPr="007D0932">
              <w:rPr>
                <w:rFonts w:ascii="Calibri" w:hAnsi="Calibri"/>
                <w:sz w:val="18"/>
                <w:szCs w:val="18"/>
              </w:rPr>
              <w:t>La mise à niveau du site technologique existant pour y ajouter des fonctionnalités (p. ex., nouvelles extensions ou nouvelles fonctionnalités) – veuillez noter que la refonte d’un site existant n’est pas admissible.</w:t>
            </w:r>
          </w:p>
          <w:p w14:paraId="5A608B7C" w14:textId="77777777" w:rsidR="00D73B73" w:rsidRPr="007D0932" w:rsidRDefault="00D73B73" w:rsidP="0071433D">
            <w:pPr>
              <w:pStyle w:val="ListParagraph"/>
              <w:widowControl/>
              <w:numPr>
                <w:ilvl w:val="0"/>
                <w:numId w:val="9"/>
              </w:numPr>
              <w:spacing w:after="200" w:line="276" w:lineRule="auto"/>
              <w:contextualSpacing/>
              <w:rPr>
                <w:rFonts w:ascii="Calibri" w:eastAsia="Calibri" w:hAnsi="Calibri" w:cs="Calibri"/>
                <w:sz w:val="18"/>
                <w:szCs w:val="18"/>
              </w:rPr>
            </w:pPr>
            <w:r w:rsidRPr="007D0932">
              <w:rPr>
                <w:rFonts w:ascii="Calibri" w:hAnsi="Calibri"/>
                <w:sz w:val="18"/>
                <w:szCs w:val="18"/>
              </w:rPr>
              <w:t>Les logiciels, notamment :</w:t>
            </w:r>
          </w:p>
          <w:p w14:paraId="30721CBE" w14:textId="48A288D9" w:rsidR="0071433D" w:rsidRPr="007D0932" w:rsidRDefault="0071433D" w:rsidP="0071433D">
            <w:pPr>
              <w:pStyle w:val="ListParagraph"/>
              <w:widowControl/>
              <w:numPr>
                <w:ilvl w:val="0"/>
                <w:numId w:val="19"/>
              </w:numPr>
              <w:spacing w:after="200" w:line="276" w:lineRule="auto"/>
              <w:ind w:left="1320" w:hanging="284"/>
              <w:contextualSpacing/>
              <w:rPr>
                <w:rFonts w:ascii="Calibri" w:eastAsia="Calibri" w:hAnsi="Calibri" w:cs="Calibri"/>
                <w:sz w:val="18"/>
                <w:szCs w:val="18"/>
              </w:rPr>
            </w:pPr>
            <w:r w:rsidRPr="007D0932">
              <w:rPr>
                <w:rFonts w:ascii="Calibri" w:hAnsi="Calibri"/>
                <w:sz w:val="18"/>
                <w:szCs w:val="18"/>
              </w:rPr>
              <w:t>Logiciels pour suivre et gérer l’inventaire des produits, ainsi que pour exécuter et expédier les commandes</w:t>
            </w:r>
            <w:r w:rsidR="00173D60">
              <w:rPr>
                <w:rFonts w:ascii="Calibri" w:hAnsi="Calibri"/>
                <w:sz w:val="18"/>
                <w:szCs w:val="18"/>
              </w:rPr>
              <w:t>.</w:t>
            </w:r>
          </w:p>
          <w:p w14:paraId="0712C2F1" w14:textId="1E68D12A" w:rsidR="007C222F" w:rsidRPr="007D0932" w:rsidRDefault="0071433D" w:rsidP="007D0932">
            <w:pPr>
              <w:pStyle w:val="ListParagraph"/>
              <w:widowControl/>
              <w:numPr>
                <w:ilvl w:val="0"/>
                <w:numId w:val="19"/>
              </w:numPr>
              <w:spacing w:after="200" w:line="276" w:lineRule="auto"/>
              <w:ind w:left="1440" w:hanging="284"/>
              <w:contextualSpacing/>
              <w:rPr>
                <w:rFonts w:ascii="Calibri" w:eastAsia="Calibri" w:hAnsi="Calibri" w:cs="Calibri"/>
                <w:sz w:val="18"/>
                <w:szCs w:val="18"/>
              </w:rPr>
            </w:pPr>
            <w:r w:rsidRPr="007D0932">
              <w:rPr>
                <w:rFonts w:ascii="Calibri" w:hAnsi="Calibri"/>
                <w:sz w:val="18"/>
                <w:szCs w:val="18"/>
              </w:rPr>
              <w:t>Logiciels pour bases de données de produits</w:t>
            </w:r>
            <w:r w:rsidR="00173D60">
              <w:rPr>
                <w:rFonts w:ascii="Calibri" w:hAnsi="Calibri"/>
                <w:sz w:val="18"/>
                <w:szCs w:val="18"/>
              </w:rPr>
              <w:t>.</w:t>
            </w:r>
          </w:p>
        </w:tc>
        <w:tc>
          <w:tcPr>
            <w:tcW w:w="7278" w:type="dxa"/>
            <w:tcBorders>
              <w:top w:val="single" w:sz="3" w:space="0" w:color="E14E35"/>
              <w:left w:val="single" w:sz="5" w:space="0" w:color="E14E35"/>
              <w:bottom w:val="single" w:sz="3" w:space="0" w:color="E14E35"/>
              <w:right w:val="single" w:sz="5" w:space="0" w:color="E14E35"/>
            </w:tcBorders>
          </w:tcPr>
          <w:p w14:paraId="0712C2F2" w14:textId="2360BA5F" w:rsidR="00F624F6" w:rsidRPr="007D0932" w:rsidRDefault="00F901A4" w:rsidP="007A608A">
            <w:pPr>
              <w:pStyle w:val="TableParagraph"/>
              <w:numPr>
                <w:ilvl w:val="0"/>
                <w:numId w:val="15"/>
              </w:numPr>
              <w:spacing w:before="19" w:line="234" w:lineRule="auto"/>
              <w:ind w:right="419"/>
              <w:rPr>
                <w:rFonts w:ascii="Calibri" w:eastAsia="Calibri" w:hAnsi="Calibri" w:cs="Calibri"/>
                <w:sz w:val="18"/>
                <w:szCs w:val="18"/>
              </w:rPr>
            </w:pPr>
            <w:r w:rsidRPr="007D0932">
              <w:rPr>
                <w:rFonts w:ascii="Calibri" w:hAnsi="Calibri"/>
                <w:sz w:val="18"/>
                <w:szCs w:val="18"/>
              </w:rPr>
              <w:t>Coûts liés à la mise en œuvre d’un plan de numérisation dans le cadre de la subvention du PMAN</w:t>
            </w:r>
            <w:r w:rsidR="00173D60">
              <w:rPr>
                <w:rFonts w:ascii="Calibri" w:hAnsi="Calibri"/>
                <w:sz w:val="18"/>
                <w:szCs w:val="18"/>
              </w:rPr>
              <w:t>.</w:t>
            </w:r>
          </w:p>
          <w:p w14:paraId="67CA2D06" w14:textId="75283AB2" w:rsidR="00122D40" w:rsidRPr="007D0932" w:rsidRDefault="00E126E8" w:rsidP="00122D40">
            <w:pPr>
              <w:pStyle w:val="TableParagraph"/>
              <w:numPr>
                <w:ilvl w:val="0"/>
                <w:numId w:val="15"/>
              </w:numPr>
              <w:spacing w:line="325" w:lineRule="exact"/>
              <w:rPr>
                <w:rFonts w:ascii="Calibri" w:eastAsia="Calibri" w:hAnsi="Calibri" w:cs="Calibri"/>
                <w:sz w:val="18"/>
                <w:szCs w:val="18"/>
              </w:rPr>
            </w:pPr>
            <w:r w:rsidRPr="007D0932">
              <w:rPr>
                <w:rFonts w:ascii="Calibri" w:hAnsi="Calibri"/>
                <w:sz w:val="18"/>
                <w:szCs w:val="18"/>
              </w:rPr>
              <w:t>Coûts liés à l’expédition de marchandises achetées sur la plateforme technologique</w:t>
            </w:r>
            <w:r w:rsidR="00173D60">
              <w:rPr>
                <w:rFonts w:ascii="Calibri" w:hAnsi="Calibri"/>
                <w:sz w:val="18"/>
                <w:szCs w:val="18"/>
              </w:rPr>
              <w:t>.</w:t>
            </w:r>
          </w:p>
          <w:p w14:paraId="0712C2F4" w14:textId="0F34BC4B" w:rsidR="00F624F6" w:rsidRPr="007D0932" w:rsidRDefault="000221AC" w:rsidP="00122D40">
            <w:pPr>
              <w:pStyle w:val="TableParagraph"/>
              <w:numPr>
                <w:ilvl w:val="0"/>
                <w:numId w:val="15"/>
              </w:numPr>
              <w:spacing w:line="325" w:lineRule="exact"/>
              <w:rPr>
                <w:rFonts w:ascii="Calibri" w:eastAsia="Calibri" w:hAnsi="Calibri" w:cs="Calibri"/>
                <w:sz w:val="18"/>
                <w:szCs w:val="18"/>
              </w:rPr>
            </w:pPr>
            <w:r w:rsidRPr="007D0932">
              <w:rPr>
                <w:rFonts w:ascii="Calibri" w:hAnsi="Calibri"/>
                <w:sz w:val="18"/>
                <w:szCs w:val="18"/>
              </w:rPr>
              <w:t>Achats effectués avant l’approbation de la subvention</w:t>
            </w:r>
            <w:r w:rsidR="00173D60">
              <w:rPr>
                <w:rFonts w:ascii="Calibri" w:hAnsi="Calibri"/>
                <w:sz w:val="18"/>
                <w:szCs w:val="18"/>
              </w:rPr>
              <w:t>.</w:t>
            </w:r>
          </w:p>
          <w:p w14:paraId="0712C2F5" w14:textId="2C2B2B9C" w:rsidR="00F624F6" w:rsidRPr="007D0932" w:rsidRDefault="000221AC" w:rsidP="00122D40">
            <w:pPr>
              <w:pStyle w:val="TableParagraph"/>
              <w:numPr>
                <w:ilvl w:val="0"/>
                <w:numId w:val="15"/>
              </w:numPr>
              <w:spacing w:line="323" w:lineRule="exact"/>
              <w:rPr>
                <w:rFonts w:ascii="Calibri" w:eastAsia="Calibri" w:hAnsi="Calibri" w:cs="Calibri"/>
                <w:sz w:val="18"/>
                <w:szCs w:val="18"/>
              </w:rPr>
            </w:pPr>
            <w:r w:rsidRPr="007D0932">
              <w:rPr>
                <w:rFonts w:ascii="Calibri" w:hAnsi="Calibri"/>
                <w:sz w:val="18"/>
                <w:szCs w:val="18"/>
              </w:rPr>
              <w:t>Renouvellement des services numériques, tels que le nom de domaine ou l’abonnement aux logiciels (y compris les abonnements existants au commerce électronique)</w:t>
            </w:r>
            <w:r w:rsidR="00173D60">
              <w:rPr>
                <w:rFonts w:ascii="Calibri" w:hAnsi="Calibri"/>
                <w:sz w:val="18"/>
                <w:szCs w:val="18"/>
              </w:rPr>
              <w:t>.</w:t>
            </w:r>
          </w:p>
          <w:p w14:paraId="0712C2F6" w14:textId="32B6DC38" w:rsidR="00F624F6" w:rsidRPr="007D0932" w:rsidRDefault="00B74AE1" w:rsidP="00122D40">
            <w:pPr>
              <w:pStyle w:val="TableParagraph"/>
              <w:numPr>
                <w:ilvl w:val="0"/>
                <w:numId w:val="15"/>
              </w:numPr>
              <w:spacing w:line="323" w:lineRule="exact"/>
              <w:rPr>
                <w:rFonts w:ascii="Calibri" w:eastAsia="Calibri" w:hAnsi="Calibri" w:cs="Calibri"/>
                <w:sz w:val="18"/>
                <w:szCs w:val="18"/>
              </w:rPr>
            </w:pPr>
            <w:r w:rsidRPr="007D0932">
              <w:rPr>
                <w:rFonts w:ascii="Calibri" w:hAnsi="Calibri"/>
                <w:sz w:val="18"/>
                <w:szCs w:val="18"/>
              </w:rPr>
              <w:t>Affichage et impression</w:t>
            </w:r>
            <w:r w:rsidR="00173D60">
              <w:rPr>
                <w:rFonts w:ascii="Calibri" w:hAnsi="Calibri"/>
                <w:sz w:val="18"/>
                <w:szCs w:val="18"/>
              </w:rPr>
              <w:t>.</w:t>
            </w:r>
          </w:p>
          <w:p w14:paraId="0712C2F7" w14:textId="08FB7B53" w:rsidR="00F624F6" w:rsidRPr="007D0932" w:rsidRDefault="005D19C1" w:rsidP="00122D40">
            <w:pPr>
              <w:pStyle w:val="TableParagraph"/>
              <w:numPr>
                <w:ilvl w:val="0"/>
                <w:numId w:val="15"/>
              </w:numPr>
              <w:spacing w:line="325" w:lineRule="exact"/>
              <w:rPr>
                <w:rFonts w:ascii="Calibri" w:eastAsia="Calibri" w:hAnsi="Calibri" w:cs="Calibri"/>
                <w:sz w:val="18"/>
                <w:szCs w:val="18"/>
              </w:rPr>
            </w:pPr>
            <w:r w:rsidRPr="007D0932">
              <w:rPr>
                <w:rFonts w:ascii="Calibri" w:hAnsi="Calibri"/>
                <w:sz w:val="18"/>
                <w:szCs w:val="18"/>
              </w:rPr>
              <w:t>Refonte et nouvelle image de marque du logo</w:t>
            </w:r>
            <w:r w:rsidR="00173D60">
              <w:rPr>
                <w:rFonts w:ascii="Calibri" w:hAnsi="Calibri"/>
                <w:sz w:val="18"/>
                <w:szCs w:val="18"/>
              </w:rPr>
              <w:t>.</w:t>
            </w:r>
          </w:p>
          <w:p w14:paraId="0712C2F8" w14:textId="6F8CD605" w:rsidR="00F624F6" w:rsidRPr="007D0932" w:rsidRDefault="00913D26" w:rsidP="00122D40">
            <w:pPr>
              <w:pStyle w:val="TableParagraph"/>
              <w:numPr>
                <w:ilvl w:val="0"/>
                <w:numId w:val="15"/>
              </w:numPr>
              <w:spacing w:line="323" w:lineRule="exact"/>
              <w:rPr>
                <w:rFonts w:ascii="Calibri" w:eastAsia="Calibri" w:hAnsi="Calibri" w:cs="Calibri"/>
                <w:sz w:val="18"/>
                <w:szCs w:val="18"/>
              </w:rPr>
            </w:pPr>
            <w:r w:rsidRPr="007D0932">
              <w:rPr>
                <w:rFonts w:ascii="Calibri" w:hAnsi="Calibri"/>
                <w:sz w:val="18"/>
                <w:szCs w:val="18"/>
              </w:rPr>
              <w:t>Primes, dividendes et incitatifs en espèces</w:t>
            </w:r>
            <w:r w:rsidR="00173D60">
              <w:rPr>
                <w:rFonts w:ascii="Calibri" w:hAnsi="Calibri"/>
                <w:sz w:val="18"/>
                <w:szCs w:val="18"/>
              </w:rPr>
              <w:t>.</w:t>
            </w:r>
          </w:p>
          <w:p w14:paraId="0712C2F9" w14:textId="75FFC09A" w:rsidR="00F624F6" w:rsidRPr="007D0932" w:rsidRDefault="00913D26" w:rsidP="00122D40">
            <w:pPr>
              <w:pStyle w:val="TableParagraph"/>
              <w:numPr>
                <w:ilvl w:val="0"/>
                <w:numId w:val="15"/>
              </w:numPr>
              <w:spacing w:line="323" w:lineRule="exact"/>
              <w:rPr>
                <w:rFonts w:ascii="Calibri" w:eastAsia="Calibri" w:hAnsi="Calibri" w:cs="Calibri"/>
                <w:sz w:val="18"/>
                <w:szCs w:val="18"/>
              </w:rPr>
            </w:pPr>
            <w:r w:rsidRPr="007D0932">
              <w:rPr>
                <w:rFonts w:ascii="Calibri" w:hAnsi="Calibri"/>
                <w:sz w:val="18"/>
                <w:szCs w:val="18"/>
              </w:rPr>
              <w:t>Achat de terrains, de bâtiments ou de véhicules</w:t>
            </w:r>
            <w:r w:rsidR="00173D60">
              <w:rPr>
                <w:rFonts w:ascii="Calibri" w:hAnsi="Calibri"/>
                <w:sz w:val="18"/>
                <w:szCs w:val="18"/>
              </w:rPr>
              <w:t>.</w:t>
            </w:r>
          </w:p>
          <w:p w14:paraId="0712C2FA" w14:textId="01E62AAC" w:rsidR="00F624F6" w:rsidRPr="007D0932" w:rsidRDefault="004B38AC" w:rsidP="00122D40">
            <w:pPr>
              <w:pStyle w:val="TableParagraph"/>
              <w:numPr>
                <w:ilvl w:val="0"/>
                <w:numId w:val="15"/>
              </w:numPr>
              <w:spacing w:line="325" w:lineRule="exact"/>
              <w:rPr>
                <w:rFonts w:ascii="Calibri" w:eastAsia="Calibri" w:hAnsi="Calibri" w:cs="Calibri"/>
                <w:sz w:val="18"/>
                <w:szCs w:val="18"/>
              </w:rPr>
            </w:pPr>
            <w:r w:rsidRPr="007D0932">
              <w:rPr>
                <w:rFonts w:ascii="Calibri" w:hAnsi="Calibri"/>
                <w:sz w:val="18"/>
                <w:szCs w:val="18"/>
              </w:rPr>
              <w:t>Actifs incorporels, tels qu’un achalandage, qu’ils soient capitalisés ou passés en charges</w:t>
            </w:r>
            <w:r w:rsidR="00173D60">
              <w:rPr>
                <w:rFonts w:ascii="Calibri" w:hAnsi="Calibri"/>
                <w:sz w:val="18"/>
                <w:szCs w:val="18"/>
              </w:rPr>
              <w:t>.</w:t>
            </w:r>
          </w:p>
          <w:p w14:paraId="0712C2FB" w14:textId="4C194E85" w:rsidR="00F624F6" w:rsidRPr="007D0932" w:rsidRDefault="009E0C25" w:rsidP="00122D40">
            <w:pPr>
              <w:pStyle w:val="TableParagraph"/>
              <w:numPr>
                <w:ilvl w:val="0"/>
                <w:numId w:val="15"/>
              </w:numPr>
              <w:spacing w:line="325" w:lineRule="exact"/>
              <w:rPr>
                <w:rFonts w:ascii="Calibri" w:eastAsia="Calibri" w:hAnsi="Calibri" w:cs="Calibri"/>
                <w:sz w:val="18"/>
                <w:szCs w:val="18"/>
              </w:rPr>
            </w:pPr>
            <w:r w:rsidRPr="007D0932">
              <w:rPr>
                <w:rFonts w:ascii="Calibri" w:hAnsi="Calibri"/>
                <w:sz w:val="18"/>
                <w:szCs w:val="18"/>
              </w:rPr>
              <w:t>Charges de dépréciation ou d’amortissement</w:t>
            </w:r>
            <w:r w:rsidR="00173D60">
              <w:rPr>
                <w:rFonts w:ascii="Calibri" w:hAnsi="Calibri"/>
                <w:sz w:val="18"/>
                <w:szCs w:val="18"/>
              </w:rPr>
              <w:t>.</w:t>
            </w:r>
          </w:p>
          <w:p w14:paraId="0712C2FC" w14:textId="11CBA22D" w:rsidR="00F624F6" w:rsidRPr="007D0932" w:rsidRDefault="00E07B52" w:rsidP="00122D40">
            <w:pPr>
              <w:pStyle w:val="TableParagraph"/>
              <w:numPr>
                <w:ilvl w:val="0"/>
                <w:numId w:val="15"/>
              </w:numPr>
              <w:spacing w:line="325" w:lineRule="exact"/>
              <w:rPr>
                <w:rFonts w:ascii="Calibri" w:eastAsia="Calibri" w:hAnsi="Calibri" w:cs="Calibri"/>
                <w:sz w:val="18"/>
                <w:szCs w:val="18"/>
              </w:rPr>
            </w:pPr>
            <w:r w:rsidRPr="007D0932">
              <w:rPr>
                <w:rFonts w:ascii="Calibri" w:hAnsi="Calibri"/>
                <w:sz w:val="18"/>
                <w:szCs w:val="18"/>
              </w:rPr>
              <w:t>Intérêt sur le capital investi, les obligations ou les débentures</w:t>
            </w:r>
            <w:r w:rsidR="00173D60">
              <w:rPr>
                <w:rFonts w:ascii="Calibri" w:hAnsi="Calibri"/>
                <w:sz w:val="18"/>
                <w:szCs w:val="18"/>
              </w:rPr>
              <w:t>.</w:t>
            </w:r>
          </w:p>
          <w:p w14:paraId="0712C2FD" w14:textId="63FD91B4" w:rsidR="00F624F6" w:rsidRPr="007D0932" w:rsidRDefault="00E07B52" w:rsidP="00122D40">
            <w:pPr>
              <w:pStyle w:val="TableParagraph"/>
              <w:numPr>
                <w:ilvl w:val="0"/>
                <w:numId w:val="15"/>
              </w:numPr>
              <w:spacing w:line="328" w:lineRule="exact"/>
              <w:rPr>
                <w:rFonts w:ascii="Calibri" w:eastAsia="Calibri" w:hAnsi="Calibri" w:cs="Calibri"/>
                <w:sz w:val="18"/>
                <w:szCs w:val="18"/>
              </w:rPr>
            </w:pPr>
            <w:r w:rsidRPr="007D0932">
              <w:rPr>
                <w:rFonts w:ascii="Calibri" w:hAnsi="Calibri"/>
                <w:sz w:val="18"/>
                <w:szCs w:val="18"/>
              </w:rPr>
              <w:t>Escompte sur obligations</w:t>
            </w:r>
            <w:r w:rsidR="00173D60">
              <w:rPr>
                <w:rFonts w:ascii="Calibri" w:hAnsi="Calibri"/>
                <w:sz w:val="18"/>
                <w:szCs w:val="18"/>
              </w:rPr>
              <w:t>.</w:t>
            </w:r>
          </w:p>
          <w:p w14:paraId="0712C2FE" w14:textId="179B31B5" w:rsidR="00F624F6" w:rsidRPr="007D0932" w:rsidRDefault="00E07B52" w:rsidP="00122D40">
            <w:pPr>
              <w:pStyle w:val="TableParagraph"/>
              <w:numPr>
                <w:ilvl w:val="0"/>
                <w:numId w:val="15"/>
              </w:numPr>
              <w:spacing w:before="3" w:line="234" w:lineRule="auto"/>
              <w:ind w:right="452"/>
              <w:rPr>
                <w:rFonts w:ascii="Calibri" w:eastAsia="Calibri" w:hAnsi="Calibri" w:cs="Calibri"/>
                <w:sz w:val="18"/>
                <w:szCs w:val="18"/>
              </w:rPr>
            </w:pPr>
            <w:r w:rsidRPr="007D0932">
              <w:rPr>
                <w:rFonts w:ascii="Calibri" w:hAnsi="Calibri"/>
                <w:sz w:val="18"/>
                <w:szCs w:val="18"/>
              </w:rPr>
              <w:t>Versements mensuels de prêts hypothécaires ou de loyers</w:t>
            </w:r>
            <w:r w:rsidR="00173D60">
              <w:rPr>
                <w:rFonts w:ascii="Calibri" w:hAnsi="Calibri"/>
                <w:sz w:val="18"/>
                <w:szCs w:val="18"/>
              </w:rPr>
              <w:t>.</w:t>
            </w:r>
          </w:p>
          <w:p w14:paraId="0712C2FF" w14:textId="33DF465D" w:rsidR="00F624F6" w:rsidRPr="007D0932" w:rsidRDefault="002F2C90" w:rsidP="00122D40">
            <w:pPr>
              <w:pStyle w:val="TableParagraph"/>
              <w:numPr>
                <w:ilvl w:val="0"/>
                <w:numId w:val="15"/>
              </w:numPr>
              <w:spacing w:line="327" w:lineRule="exact"/>
              <w:rPr>
                <w:rFonts w:ascii="Calibri" w:eastAsia="Calibri" w:hAnsi="Calibri" w:cs="Calibri"/>
                <w:sz w:val="18"/>
                <w:szCs w:val="18"/>
              </w:rPr>
            </w:pPr>
            <w:r w:rsidRPr="007D0932">
              <w:rPr>
                <w:rFonts w:ascii="Calibri" w:hAnsi="Calibri"/>
                <w:sz w:val="18"/>
                <w:szCs w:val="18"/>
              </w:rPr>
              <w:t>Refinancement d’une dette existante</w:t>
            </w:r>
            <w:r w:rsidR="00173D60">
              <w:rPr>
                <w:rFonts w:ascii="Calibri" w:hAnsi="Calibri"/>
                <w:sz w:val="18"/>
                <w:szCs w:val="18"/>
              </w:rPr>
              <w:t>.</w:t>
            </w:r>
          </w:p>
          <w:p w14:paraId="2E4A17A6" w14:textId="5BC1C63F" w:rsidR="00F624F6" w:rsidRPr="007D0932" w:rsidRDefault="000A3571" w:rsidP="00122D40">
            <w:pPr>
              <w:pStyle w:val="ListParagraph"/>
              <w:widowControl/>
              <w:numPr>
                <w:ilvl w:val="0"/>
                <w:numId w:val="15"/>
              </w:numPr>
              <w:spacing w:line="334" w:lineRule="exact"/>
              <w:contextualSpacing/>
              <w:jc w:val="both"/>
              <w:rPr>
                <w:rFonts w:ascii="Calibri" w:eastAsia="Calibri" w:hAnsi="Calibri" w:cs="Calibri"/>
                <w:sz w:val="18"/>
                <w:szCs w:val="18"/>
              </w:rPr>
            </w:pPr>
            <w:r w:rsidRPr="007D0932">
              <w:rPr>
                <w:rFonts w:ascii="Calibri" w:hAnsi="Calibri"/>
                <w:sz w:val="18"/>
                <w:szCs w:val="18"/>
              </w:rPr>
              <w:t>Remboursement de dette ou pertes sur placements, créances irrécouvrables et toutes autres dettes</w:t>
            </w:r>
            <w:r w:rsidR="00173D60">
              <w:rPr>
                <w:rFonts w:ascii="Calibri" w:hAnsi="Calibri"/>
                <w:sz w:val="18"/>
                <w:szCs w:val="18"/>
              </w:rPr>
              <w:t>.</w:t>
            </w:r>
          </w:p>
          <w:p w14:paraId="038A186B" w14:textId="7226F63F" w:rsidR="001913E4" w:rsidRPr="007D0932" w:rsidRDefault="00C227DF" w:rsidP="00122D40">
            <w:pPr>
              <w:pStyle w:val="TableParagraph"/>
              <w:numPr>
                <w:ilvl w:val="0"/>
                <w:numId w:val="15"/>
              </w:numPr>
              <w:spacing w:line="334" w:lineRule="exact"/>
              <w:rPr>
                <w:rFonts w:ascii="Calibri" w:eastAsia="Calibri" w:hAnsi="Calibri" w:cs="Calibri"/>
                <w:sz w:val="18"/>
                <w:szCs w:val="18"/>
              </w:rPr>
            </w:pPr>
            <w:r w:rsidRPr="007D0932">
              <w:rPr>
                <w:rFonts w:ascii="Calibri" w:hAnsi="Calibri"/>
                <w:sz w:val="18"/>
                <w:szCs w:val="18"/>
              </w:rPr>
              <w:t>Amendes ou pénalités</w:t>
            </w:r>
            <w:r w:rsidR="00173D60">
              <w:rPr>
                <w:rFonts w:ascii="Calibri" w:hAnsi="Calibri"/>
                <w:sz w:val="18"/>
                <w:szCs w:val="18"/>
              </w:rPr>
              <w:t>.</w:t>
            </w:r>
          </w:p>
          <w:p w14:paraId="35BB66F1" w14:textId="2D535D17" w:rsidR="006770BB" w:rsidRPr="007D0932" w:rsidRDefault="005D2D1E" w:rsidP="00122D40">
            <w:pPr>
              <w:pStyle w:val="TableParagraph"/>
              <w:numPr>
                <w:ilvl w:val="0"/>
                <w:numId w:val="15"/>
              </w:numPr>
              <w:spacing w:line="334" w:lineRule="exact"/>
              <w:rPr>
                <w:rFonts w:ascii="Calibri" w:eastAsia="Calibri" w:hAnsi="Calibri" w:cs="Calibri"/>
                <w:sz w:val="18"/>
                <w:szCs w:val="18"/>
              </w:rPr>
            </w:pPr>
            <w:r w:rsidRPr="007D0932">
              <w:rPr>
                <w:rFonts w:ascii="Calibri" w:hAnsi="Calibri"/>
                <w:sz w:val="18"/>
                <w:szCs w:val="18"/>
              </w:rPr>
              <w:t>Litiges</w:t>
            </w:r>
            <w:r w:rsidR="00173D60">
              <w:rPr>
                <w:rFonts w:ascii="Calibri" w:hAnsi="Calibri"/>
                <w:sz w:val="18"/>
                <w:szCs w:val="18"/>
              </w:rPr>
              <w:t>.</w:t>
            </w:r>
          </w:p>
          <w:p w14:paraId="69EC2A57" w14:textId="363BC077" w:rsidR="004416B6" w:rsidRPr="007D0932" w:rsidRDefault="00A12939" w:rsidP="00122D40">
            <w:pPr>
              <w:pStyle w:val="TableParagraph"/>
              <w:numPr>
                <w:ilvl w:val="0"/>
                <w:numId w:val="15"/>
              </w:numPr>
              <w:spacing w:line="334" w:lineRule="exact"/>
              <w:rPr>
                <w:rFonts w:ascii="Calibri" w:eastAsia="Calibri" w:hAnsi="Calibri" w:cs="Calibri"/>
                <w:sz w:val="18"/>
                <w:szCs w:val="18"/>
              </w:rPr>
            </w:pPr>
            <w:r w:rsidRPr="007D0932">
              <w:rPr>
                <w:rFonts w:ascii="Calibri" w:hAnsi="Calibri"/>
                <w:sz w:val="18"/>
                <w:szCs w:val="18"/>
              </w:rPr>
              <w:t>Voyages à l’extérieur de la province de l’Ontario</w:t>
            </w:r>
            <w:r w:rsidR="00173D60">
              <w:rPr>
                <w:rFonts w:ascii="Calibri" w:hAnsi="Calibri"/>
                <w:sz w:val="18"/>
                <w:szCs w:val="18"/>
              </w:rPr>
              <w:t>.</w:t>
            </w:r>
          </w:p>
          <w:p w14:paraId="74C98D7E" w14:textId="15248CD7" w:rsidR="00A12939" w:rsidRPr="007D0932" w:rsidRDefault="0048597B" w:rsidP="00122D40">
            <w:pPr>
              <w:pStyle w:val="TableParagraph"/>
              <w:numPr>
                <w:ilvl w:val="0"/>
                <w:numId w:val="15"/>
              </w:numPr>
              <w:spacing w:line="334" w:lineRule="exact"/>
              <w:rPr>
                <w:rFonts w:ascii="Calibri" w:eastAsia="Calibri" w:hAnsi="Calibri" w:cs="Calibri"/>
                <w:sz w:val="18"/>
                <w:szCs w:val="18"/>
              </w:rPr>
            </w:pPr>
            <w:r w:rsidRPr="007D0932">
              <w:rPr>
                <w:rFonts w:ascii="Calibri" w:hAnsi="Calibri"/>
                <w:sz w:val="18"/>
                <w:szCs w:val="18"/>
              </w:rPr>
              <w:t>Dépenses en immobilisations, y compris pour des terrains, immeubles ou améliorations locatives</w:t>
            </w:r>
            <w:r w:rsidR="00173D60">
              <w:rPr>
                <w:rFonts w:ascii="Calibri" w:hAnsi="Calibri"/>
                <w:sz w:val="18"/>
                <w:szCs w:val="18"/>
              </w:rPr>
              <w:t>.</w:t>
            </w:r>
          </w:p>
          <w:p w14:paraId="2FC63F11" w14:textId="399E9E1D" w:rsidR="005D2D1E" w:rsidRPr="007D0932" w:rsidRDefault="00D9550E" w:rsidP="00122D40">
            <w:pPr>
              <w:pStyle w:val="TableParagraph"/>
              <w:numPr>
                <w:ilvl w:val="0"/>
                <w:numId w:val="15"/>
              </w:numPr>
              <w:spacing w:line="334" w:lineRule="exact"/>
              <w:rPr>
                <w:rFonts w:ascii="Calibri" w:eastAsia="Calibri" w:hAnsi="Calibri" w:cs="Calibri"/>
                <w:sz w:val="18"/>
                <w:szCs w:val="18"/>
              </w:rPr>
            </w:pPr>
            <w:r w:rsidRPr="007D0932">
              <w:rPr>
                <w:rFonts w:ascii="Calibri" w:hAnsi="Calibri"/>
                <w:sz w:val="18"/>
                <w:szCs w:val="18"/>
              </w:rPr>
              <w:t>Cotisation annuelle à des associations</w:t>
            </w:r>
            <w:r w:rsidR="00173D60">
              <w:rPr>
                <w:rFonts w:ascii="Calibri" w:hAnsi="Calibri"/>
                <w:sz w:val="18"/>
                <w:szCs w:val="18"/>
              </w:rPr>
              <w:t>.</w:t>
            </w:r>
          </w:p>
          <w:p w14:paraId="5004C1B8" w14:textId="1D17EAFD" w:rsidR="006770BB" w:rsidRPr="007D0932" w:rsidRDefault="004E4341" w:rsidP="00122D40">
            <w:pPr>
              <w:pStyle w:val="TableParagraph"/>
              <w:numPr>
                <w:ilvl w:val="0"/>
                <w:numId w:val="15"/>
              </w:numPr>
              <w:spacing w:line="334" w:lineRule="exact"/>
              <w:rPr>
                <w:rFonts w:ascii="Calibri" w:eastAsia="Calibri" w:hAnsi="Calibri" w:cs="Calibri"/>
                <w:sz w:val="18"/>
                <w:szCs w:val="18"/>
              </w:rPr>
            </w:pPr>
            <w:r w:rsidRPr="007D0932">
              <w:rPr>
                <w:rFonts w:ascii="Calibri" w:hAnsi="Calibri"/>
                <w:sz w:val="18"/>
                <w:szCs w:val="18"/>
              </w:rPr>
              <w:t>Coûts engagés avant le lancement du projet de la PME ou après son achèvement</w:t>
            </w:r>
            <w:r w:rsidR="00173D60">
              <w:rPr>
                <w:rFonts w:ascii="Calibri" w:hAnsi="Calibri"/>
                <w:sz w:val="18"/>
                <w:szCs w:val="18"/>
              </w:rPr>
              <w:t>.</w:t>
            </w:r>
          </w:p>
          <w:p w14:paraId="0712C300" w14:textId="35FBEF4B" w:rsidR="00A12939" w:rsidRPr="007D0932" w:rsidRDefault="00CE2C9E" w:rsidP="0071433D">
            <w:pPr>
              <w:pStyle w:val="TableParagraph"/>
              <w:widowControl/>
              <w:numPr>
                <w:ilvl w:val="0"/>
                <w:numId w:val="15"/>
              </w:numPr>
              <w:spacing w:line="334" w:lineRule="exact"/>
              <w:contextualSpacing/>
              <w:jc w:val="both"/>
              <w:rPr>
                <w:rFonts w:ascii="Calibri" w:eastAsia="Calibri" w:hAnsi="Calibri" w:cs="Calibri"/>
                <w:sz w:val="18"/>
                <w:szCs w:val="18"/>
              </w:rPr>
            </w:pPr>
            <w:r w:rsidRPr="007D0932">
              <w:rPr>
                <w:rFonts w:ascii="Calibri" w:hAnsi="Calibri"/>
                <w:sz w:val="18"/>
                <w:szCs w:val="18"/>
              </w:rPr>
              <w:t>Salaires des fondateurs qui n’apportent aucune contribution technique au projet ou qui excèdent 5 000 $ par mois</w:t>
            </w:r>
            <w:r w:rsidR="00173D60">
              <w:rPr>
                <w:rFonts w:ascii="Calibri" w:hAnsi="Calibri"/>
                <w:sz w:val="18"/>
                <w:szCs w:val="18"/>
              </w:rPr>
              <w:t>.</w:t>
            </w:r>
          </w:p>
        </w:tc>
      </w:tr>
      <w:tr w:rsidR="00B00ED0" w14:paraId="02BEC08F" w14:textId="77777777" w:rsidTr="007955C8">
        <w:trPr>
          <w:trHeight w:hRule="exact" w:val="8951"/>
        </w:trPr>
        <w:tc>
          <w:tcPr>
            <w:tcW w:w="7231" w:type="dxa"/>
            <w:tcBorders>
              <w:top w:val="single" w:sz="0" w:space="0" w:color="E14E35"/>
              <w:left w:val="single" w:sz="5" w:space="0" w:color="E14E35"/>
              <w:bottom w:val="single" w:sz="5" w:space="0" w:color="E14E35"/>
              <w:right w:val="single" w:sz="5" w:space="0" w:color="E14E35"/>
            </w:tcBorders>
          </w:tcPr>
          <w:p w14:paraId="6BC2B0CC" w14:textId="6D19D55E" w:rsidR="0051757B" w:rsidRPr="007D0932" w:rsidRDefault="0051757B" w:rsidP="0051757B">
            <w:pPr>
              <w:pStyle w:val="ListParagraph"/>
              <w:widowControl/>
              <w:numPr>
                <w:ilvl w:val="0"/>
                <w:numId w:val="10"/>
              </w:numPr>
              <w:spacing w:after="200" w:line="276" w:lineRule="auto"/>
              <w:contextualSpacing/>
              <w:rPr>
                <w:rFonts w:ascii="Calibri" w:eastAsia="Calibri" w:hAnsi="Calibri" w:cs="Calibri"/>
                <w:sz w:val="18"/>
                <w:szCs w:val="18"/>
              </w:rPr>
            </w:pPr>
            <w:r w:rsidRPr="007D0932">
              <w:rPr>
                <w:rFonts w:ascii="Calibri" w:hAnsi="Calibri"/>
                <w:sz w:val="18"/>
                <w:szCs w:val="18"/>
              </w:rPr>
              <w:lastRenderedPageBreak/>
              <w:t>Logiciels pour suivre les ventes</w:t>
            </w:r>
            <w:r w:rsidR="00AB39E4">
              <w:rPr>
                <w:rFonts w:ascii="Calibri" w:hAnsi="Calibri"/>
                <w:sz w:val="18"/>
                <w:szCs w:val="18"/>
              </w:rPr>
              <w:t>, faire de la publicité</w:t>
            </w:r>
            <w:r w:rsidRPr="007D0932">
              <w:rPr>
                <w:rFonts w:ascii="Calibri" w:hAnsi="Calibri"/>
                <w:sz w:val="18"/>
                <w:szCs w:val="18"/>
              </w:rPr>
              <w:t xml:space="preserve"> auprès des clients, offrir des rabais, maintenir un programme de fidélisation</w:t>
            </w:r>
            <w:r w:rsidR="00173D60">
              <w:rPr>
                <w:rFonts w:ascii="Calibri" w:hAnsi="Calibri"/>
                <w:sz w:val="18"/>
                <w:szCs w:val="18"/>
              </w:rPr>
              <w:t>.</w:t>
            </w:r>
          </w:p>
          <w:p w14:paraId="270574AD" w14:textId="790DE6E8" w:rsidR="0051757B" w:rsidRPr="007D0932" w:rsidRDefault="0051757B" w:rsidP="0051757B">
            <w:pPr>
              <w:pStyle w:val="ListParagraph"/>
              <w:widowControl/>
              <w:numPr>
                <w:ilvl w:val="0"/>
                <w:numId w:val="10"/>
              </w:numPr>
              <w:spacing w:after="200" w:line="276" w:lineRule="auto"/>
              <w:contextualSpacing/>
              <w:rPr>
                <w:rFonts w:ascii="Calibri" w:eastAsia="Calibri" w:hAnsi="Calibri" w:cs="Calibri"/>
                <w:sz w:val="18"/>
                <w:szCs w:val="18"/>
              </w:rPr>
            </w:pPr>
            <w:r w:rsidRPr="007D0932">
              <w:rPr>
                <w:rFonts w:ascii="Calibri" w:hAnsi="Calibri"/>
                <w:sz w:val="18"/>
                <w:szCs w:val="18"/>
              </w:rPr>
              <w:t>Logiciels pour simplifier le marketing</w:t>
            </w:r>
            <w:r w:rsidR="00173D60">
              <w:rPr>
                <w:rFonts w:ascii="Calibri" w:hAnsi="Calibri"/>
                <w:sz w:val="18"/>
                <w:szCs w:val="18"/>
              </w:rPr>
              <w:t>.</w:t>
            </w:r>
          </w:p>
          <w:p w14:paraId="1759E059" w14:textId="256055C8" w:rsidR="0051757B" w:rsidRPr="007D0932" w:rsidRDefault="0051757B" w:rsidP="0051757B">
            <w:pPr>
              <w:pStyle w:val="ListParagraph"/>
              <w:widowControl/>
              <w:numPr>
                <w:ilvl w:val="0"/>
                <w:numId w:val="10"/>
              </w:numPr>
              <w:spacing w:after="200" w:line="276" w:lineRule="auto"/>
              <w:contextualSpacing/>
              <w:rPr>
                <w:rFonts w:ascii="Calibri" w:eastAsia="Calibri" w:hAnsi="Calibri" w:cs="Calibri"/>
                <w:sz w:val="18"/>
                <w:szCs w:val="18"/>
              </w:rPr>
            </w:pPr>
            <w:r w:rsidRPr="007D0932">
              <w:rPr>
                <w:rFonts w:ascii="Calibri" w:hAnsi="Calibri"/>
                <w:sz w:val="18"/>
                <w:szCs w:val="18"/>
              </w:rPr>
              <w:t>Logiciels ou certifications de cybersécurité</w:t>
            </w:r>
            <w:r w:rsidR="00173D60">
              <w:rPr>
                <w:rFonts w:ascii="Calibri" w:hAnsi="Calibri"/>
                <w:sz w:val="18"/>
                <w:szCs w:val="18"/>
              </w:rPr>
              <w:t>.</w:t>
            </w:r>
          </w:p>
          <w:p w14:paraId="6E008574" w14:textId="7BC7AB1A" w:rsidR="0051757B" w:rsidRPr="007D0932" w:rsidRDefault="00A957D7" w:rsidP="0051757B">
            <w:pPr>
              <w:pStyle w:val="ListParagraph"/>
              <w:widowControl/>
              <w:numPr>
                <w:ilvl w:val="0"/>
                <w:numId w:val="10"/>
              </w:numPr>
              <w:spacing w:after="200" w:line="276" w:lineRule="auto"/>
              <w:contextualSpacing/>
              <w:rPr>
                <w:rFonts w:ascii="Calibri" w:eastAsia="Calibri" w:hAnsi="Calibri" w:cs="Calibri"/>
                <w:sz w:val="18"/>
                <w:szCs w:val="18"/>
              </w:rPr>
            </w:pPr>
            <w:r>
              <w:rPr>
                <w:rFonts w:ascii="Calibri" w:hAnsi="Calibri"/>
                <w:sz w:val="18"/>
                <w:szCs w:val="18"/>
              </w:rPr>
              <w:t>M</w:t>
            </w:r>
            <w:r w:rsidR="0051757B" w:rsidRPr="007D0932">
              <w:rPr>
                <w:rFonts w:ascii="Calibri" w:hAnsi="Calibri"/>
                <w:sz w:val="18"/>
                <w:szCs w:val="18"/>
              </w:rPr>
              <w:t>atériel et logiciels d’accompagnement jusqu’à 20</w:t>
            </w:r>
            <w:r w:rsidR="000567AB">
              <w:rPr>
                <w:rFonts w:ascii="Calibri" w:hAnsi="Calibri"/>
                <w:sz w:val="18"/>
                <w:szCs w:val="18"/>
              </w:rPr>
              <w:t> </w:t>
            </w:r>
            <w:r w:rsidR="0051757B" w:rsidRPr="007D0932">
              <w:rPr>
                <w:rFonts w:ascii="Calibri" w:hAnsi="Calibri"/>
                <w:sz w:val="18"/>
                <w:szCs w:val="18"/>
              </w:rPr>
              <w:t>% du montant total de la subvention</w:t>
            </w:r>
            <w:r w:rsidR="00173D60">
              <w:rPr>
                <w:rFonts w:ascii="Calibri" w:hAnsi="Calibri"/>
                <w:sz w:val="18"/>
                <w:szCs w:val="18"/>
              </w:rPr>
              <w:t>.</w:t>
            </w:r>
          </w:p>
          <w:p w14:paraId="262BB3B1" w14:textId="77777777" w:rsidR="00B00ED0" w:rsidRDefault="00B00ED0" w:rsidP="00B00ED0">
            <w:pPr>
              <w:widowControl/>
              <w:spacing w:after="200" w:line="276" w:lineRule="auto"/>
              <w:contextualSpacing/>
              <w:jc w:val="both"/>
              <w:rPr>
                <w:rFonts w:ascii="Calibri" w:eastAsia="Calibri" w:hAnsi="Calibri" w:cs="Calibri"/>
                <w:sz w:val="20"/>
                <w:szCs w:val="20"/>
              </w:rPr>
            </w:pPr>
          </w:p>
          <w:p w14:paraId="3602F09E" w14:textId="4E5ECEAD" w:rsidR="00B00ED0" w:rsidRPr="00B00ED0" w:rsidRDefault="00B00ED0" w:rsidP="00B00ED0">
            <w:pPr>
              <w:widowControl/>
              <w:spacing w:after="200" w:line="276" w:lineRule="auto"/>
              <w:contextualSpacing/>
              <w:jc w:val="both"/>
              <w:rPr>
                <w:rFonts w:ascii="Calibri" w:eastAsia="Calibri" w:hAnsi="Calibri" w:cs="Calibri"/>
                <w:sz w:val="20"/>
                <w:szCs w:val="20"/>
              </w:rPr>
            </w:pPr>
          </w:p>
        </w:tc>
        <w:tc>
          <w:tcPr>
            <w:tcW w:w="7278" w:type="dxa"/>
            <w:tcBorders>
              <w:top w:val="single" w:sz="3" w:space="0" w:color="E14E35"/>
              <w:left w:val="single" w:sz="5" w:space="0" w:color="E14E35"/>
              <w:bottom w:val="single" w:sz="5" w:space="0" w:color="E14E35"/>
              <w:right w:val="single" w:sz="5" w:space="0" w:color="E14E35"/>
            </w:tcBorders>
          </w:tcPr>
          <w:p w14:paraId="29D59B97" w14:textId="77777777" w:rsidR="00B00ED0" w:rsidRDefault="00B00ED0" w:rsidP="0071433D">
            <w:pPr>
              <w:pStyle w:val="TableParagraph"/>
              <w:spacing w:before="19" w:line="234" w:lineRule="auto"/>
              <w:ind w:left="720" w:right="419"/>
              <w:rPr>
                <w:rFonts w:ascii="Calibri" w:eastAsia="Calibri" w:hAnsi="Calibri" w:cs="Calibri"/>
                <w:spacing w:val="-1"/>
                <w:sz w:val="20"/>
                <w:szCs w:val="20"/>
              </w:rPr>
            </w:pPr>
          </w:p>
        </w:tc>
      </w:tr>
    </w:tbl>
    <w:p w14:paraId="0712C302" w14:textId="77777777" w:rsidR="002B1985" w:rsidRDefault="002B1985"/>
    <w:sectPr w:rsidR="002B1985">
      <w:headerReference w:type="default" r:id="rId9"/>
      <w:footerReference w:type="default" r:id="rId10"/>
      <w:pgSz w:w="15840" w:h="12240" w:orient="landscape"/>
      <w:pgMar w:top="1180" w:right="720" w:bottom="600" w:left="660" w:header="3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18C3" w14:textId="77777777" w:rsidR="00CD7517" w:rsidRDefault="00CD7517">
      <w:r>
        <w:separator/>
      </w:r>
    </w:p>
  </w:endnote>
  <w:endnote w:type="continuationSeparator" w:id="0">
    <w:p w14:paraId="29EF2BC2" w14:textId="77777777" w:rsidR="00CD7517" w:rsidRDefault="00CD7517">
      <w:r>
        <w:continuationSeparator/>
      </w:r>
    </w:p>
  </w:endnote>
  <w:endnote w:type="continuationNotice" w:id="1">
    <w:p w14:paraId="459BC2D7" w14:textId="77777777" w:rsidR="00CD7517" w:rsidRDefault="00CD7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C304" w14:textId="051BFF6B" w:rsidR="00F624F6" w:rsidRDefault="009B06B0">
    <w:pPr>
      <w:spacing w:line="14" w:lineRule="auto"/>
      <w:rPr>
        <w:sz w:val="20"/>
        <w:szCs w:val="20"/>
      </w:rPr>
    </w:pPr>
    <w:r>
      <w:rPr>
        <w:noProof/>
      </w:rPr>
      <mc:AlternateContent>
        <mc:Choice Requires="wps">
          <w:drawing>
            <wp:anchor distT="0" distB="0" distL="114300" distR="114300" simplePos="0" relativeHeight="251658243" behindDoc="1" locked="0" layoutInCell="1" allowOverlap="1" wp14:anchorId="0712C308" wp14:editId="2B7BB74E">
              <wp:simplePos x="0" y="0"/>
              <wp:positionH relativeFrom="page">
                <wp:posOffset>5819775</wp:posOffset>
              </wp:positionH>
              <wp:positionV relativeFrom="bottomMargin">
                <wp:posOffset>0</wp:posOffset>
              </wp:positionV>
              <wp:extent cx="247650" cy="133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2C30C" w14:textId="77777777" w:rsidR="00F624F6" w:rsidRDefault="00913D26">
                          <w:pPr>
                            <w:spacing w:line="188" w:lineRule="exact"/>
                            <w:ind w:left="20"/>
                            <w:rPr>
                              <w:rFonts w:ascii="Calibri" w:eastAsia="Calibri" w:hAnsi="Calibri" w:cs="Calibri"/>
                              <w:sz w:val="16"/>
                              <w:szCs w:val="16"/>
                            </w:rPr>
                          </w:pPr>
                          <w:r>
                            <w:rPr>
                              <w:rFonts w:ascii="Calibri"/>
                              <w:sz w:val="16"/>
                            </w:rPr>
                            <w:t>V3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2C308" id="_x0000_t202" coordsize="21600,21600" o:spt="202" path="m,l,21600r21600,l21600,xe">
              <v:stroke joinstyle="miter"/>
              <v:path gradientshapeok="t" o:connecttype="rect"/>
            </v:shapetype>
            <v:shape id="Text Box 2" o:spid="_x0000_s1027" type="#_x0000_t202" style="position:absolute;margin-left:458.25pt;margin-top:0;width:19.5pt;height:1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" filled="f" stroked="f">
              <v:textbox inset="0,0,0,0">
                <w:txbxContent>
                  <w:p w14:paraId="0712C30C" w14:textId="77777777" w:rsidR="00F624F6" w:rsidRDefault="00913D26">
                    <w:pPr>
                      <w:spacing w:line="188" w:lineRule="exact"/>
                      <w:ind w:left="20"/>
                      <w:rPr>
                        <w:rFonts w:ascii="Calibri" w:eastAsia="Calibri" w:hAnsi="Calibri" w:cs="Calibri"/>
                        <w:sz w:val="16"/>
                        <w:szCs w:val="16"/>
                      </w:rPr>
                    </w:pPr>
                    <w:r>
                      <w:rPr>
                        <w:rFonts w:ascii="Calibri"/>
                        <w:sz w:val="16"/>
                      </w:rPr>
                      <w:t>V3</w:t>
                    </w:r>
                  </w:p>
                </w:txbxContent>
              </v:textbox>
              <w10:wrap anchorx="page" anchory="margin"/>
            </v:shape>
          </w:pict>
        </mc:Fallback>
      </mc:AlternateContent>
    </w:r>
    <w:r>
      <w:rPr>
        <w:noProof/>
      </w:rPr>
      <mc:AlternateContent>
        <mc:Choice Requires="wps">
          <w:drawing>
            <wp:anchor distT="0" distB="0" distL="114300" distR="114300" simplePos="0" relativeHeight="251658242" behindDoc="1" locked="0" layoutInCell="1" allowOverlap="1" wp14:anchorId="0712C307" wp14:editId="6FB94316">
              <wp:simplePos x="0" y="0"/>
              <wp:positionH relativeFrom="page">
                <wp:posOffset>466725</wp:posOffset>
              </wp:positionH>
              <wp:positionV relativeFrom="page">
                <wp:posOffset>7362825</wp:posOffset>
              </wp:positionV>
              <wp:extent cx="5143500" cy="152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2C30B" w14:textId="7599C397" w:rsidR="00F624F6" w:rsidRDefault="00913D26">
                          <w:pPr>
                            <w:spacing w:line="188" w:lineRule="exact"/>
                            <w:ind w:left="20"/>
                            <w:rPr>
                              <w:rFonts w:ascii="Calibri" w:eastAsia="Calibri" w:hAnsi="Calibri" w:cs="Calibri"/>
                              <w:sz w:val="16"/>
                              <w:szCs w:val="16"/>
                            </w:rPr>
                          </w:pPr>
                          <w:r>
                            <w:rPr>
                              <w:rFonts w:ascii="Calibri"/>
                              <w:sz w:val="16"/>
                            </w:rPr>
                            <w:t>Dépenses admissibles | Centre de compétences en numérisation | Subventions et investissements destinés aux entreprises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2C307" id="Text Box 3" o:spid="_x0000_s1028" type="#_x0000_t202" style="position:absolute;margin-left:36.75pt;margin-top:579.75pt;width:405pt;height:1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" filled="f" stroked="f">
              <v:textbox inset="0,0,0,0">
                <w:txbxContent>
                  <w:p w14:paraId="0712C30B" w14:textId="7599C397" w:rsidR="00F624F6" w:rsidRDefault="00913D26">
                    <w:pPr>
                      <w:spacing w:line="188" w:lineRule="exact"/>
                      <w:ind w:left="20"/>
                      <w:rPr>
                        <w:rFonts w:ascii="Calibri" w:eastAsia="Calibri" w:hAnsi="Calibri" w:cs="Calibri"/>
                        <w:sz w:val="16"/>
                        <w:szCs w:val="16"/>
                      </w:rPr>
                    </w:pPr>
                    <w:r>
                      <w:rPr>
                        <w:rFonts w:ascii="Calibri"/>
                        <w:sz w:val="16"/>
                      </w:rPr>
                      <w:t>Dépenses admissibles | Centre de compétences en numérisation | Subventions et investissements destinés aux entreprises</w:t>
                    </w:r>
                  </w:p>
                </w:txbxContent>
              </v:textbox>
              <w10:wrap anchorx="page" anchory="page"/>
            </v:shape>
          </w:pict>
        </mc:Fallback>
      </mc:AlternateContent>
    </w:r>
    <w:r w:rsidR="00C504D3">
      <w:rPr>
        <w:noProof/>
      </w:rPr>
      <mc:AlternateContent>
        <mc:Choice Requires="wps">
          <w:drawing>
            <wp:anchor distT="0" distB="0" distL="114300" distR="114300" simplePos="0" relativeHeight="251658244" behindDoc="1" locked="0" layoutInCell="1" allowOverlap="1" wp14:anchorId="0712C309" wp14:editId="1EE34992">
              <wp:simplePos x="0" y="0"/>
              <wp:positionH relativeFrom="page">
                <wp:posOffset>8689340</wp:posOffset>
              </wp:positionH>
              <wp:positionV relativeFrom="page">
                <wp:posOffset>7366000</wp:posOffset>
              </wp:positionV>
              <wp:extent cx="382270" cy="127000"/>
              <wp:effectExtent l="2540" t="317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2C30D" w14:textId="77777777" w:rsidR="00F624F6" w:rsidRDefault="00913D26">
                          <w:pPr>
                            <w:spacing w:line="188" w:lineRule="exact"/>
                            <w:ind w:left="20"/>
                            <w:rPr>
                              <w:rFonts w:ascii="Calibri" w:eastAsia="Calibri" w:hAnsi="Calibri" w:cs="Calibri"/>
                              <w:sz w:val="16"/>
                              <w:szCs w:val="16"/>
                            </w:rPr>
                          </w:pPr>
                          <w:r>
                            <w:rPr>
                              <w:rFonts w:ascii="Calibri"/>
                              <w:sz w:val="16"/>
                            </w:rPr>
                            <w:t xml:space="preserve">Page | </w:t>
                          </w:r>
                          <w:r>
                            <w:fldChar w:fldCharType="begin"/>
                          </w:r>
                          <w:r>
                            <w:rPr>
                              <w:rFonts w:ascii="Calibri"/>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2C309" id="Text Box 1" o:spid="_x0000_s1029" type="#_x0000_t202" style="position:absolute;margin-left:684.2pt;margin-top:580pt;width:30.1pt;height:10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" filled="f" stroked="f">
              <v:textbox inset="0,0,0,0">
                <w:txbxContent>
                  <w:p w14:paraId="0712C30D" w14:textId="77777777" w:rsidR="00F624F6" w:rsidRDefault="00913D26">
                    <w:pPr>
                      <w:spacing w:line="188" w:lineRule="exact"/>
                      <w:ind w:left="20"/>
                      <w:rPr>
                        <w:sz w:val="16"/>
                        <w:szCs w:val="16"/>
                        <w:rFonts w:ascii="Calibri" w:eastAsia="Calibri" w:hAnsi="Calibri" w:cs="Calibri"/>
                      </w:rPr>
                    </w:pPr>
                    <w:r>
                      <w:rPr>
                        <w:sz w:val="16"/>
                        <w:rFonts w:ascii="Calibri"/>
                      </w:rPr>
                      <w:t xml:space="preserve">Page | </w:t>
                    </w:r>
                    <w:r>
                      <w:fldChar w:fldCharType="begin"/>
                    </w:r>
                    <w:r>
                      <w:rPr>
                        <w:sz w:val="16"/>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FE21" w14:textId="77777777" w:rsidR="00CD7517" w:rsidRDefault="00CD7517">
      <w:r>
        <w:separator/>
      </w:r>
    </w:p>
  </w:footnote>
  <w:footnote w:type="continuationSeparator" w:id="0">
    <w:p w14:paraId="0ED66236" w14:textId="77777777" w:rsidR="00CD7517" w:rsidRDefault="00CD7517">
      <w:r>
        <w:continuationSeparator/>
      </w:r>
    </w:p>
  </w:footnote>
  <w:footnote w:type="continuationNotice" w:id="1">
    <w:p w14:paraId="146704A2" w14:textId="77777777" w:rsidR="00CD7517" w:rsidRDefault="00CD75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C303" w14:textId="01028963" w:rsidR="00F624F6" w:rsidRDefault="00C504D3">
    <w:pPr>
      <w:spacing w:line="14" w:lineRule="auto"/>
      <w:rPr>
        <w:sz w:val="20"/>
        <w:szCs w:val="20"/>
      </w:rPr>
    </w:pPr>
    <w:r>
      <w:rPr>
        <w:noProof/>
      </w:rPr>
      <w:drawing>
        <wp:anchor distT="0" distB="0" distL="114300" distR="114300" simplePos="0" relativeHeight="251658240" behindDoc="1" locked="0" layoutInCell="1" allowOverlap="1" wp14:anchorId="0712C305" wp14:editId="0F27B2C9">
          <wp:simplePos x="0" y="0"/>
          <wp:positionH relativeFrom="page">
            <wp:posOffset>8433435</wp:posOffset>
          </wp:positionH>
          <wp:positionV relativeFrom="page">
            <wp:posOffset>203200</wp:posOffset>
          </wp:positionV>
          <wp:extent cx="1103630" cy="456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4565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1" locked="0" layoutInCell="1" allowOverlap="1" wp14:anchorId="0712C306" wp14:editId="146CB626">
              <wp:simplePos x="0" y="0"/>
              <wp:positionH relativeFrom="page">
                <wp:posOffset>470535</wp:posOffset>
              </wp:positionH>
              <wp:positionV relativeFrom="page">
                <wp:posOffset>393065</wp:posOffset>
              </wp:positionV>
              <wp:extent cx="3879850" cy="381000"/>
              <wp:effectExtent l="3810" t="254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2C30A" w14:textId="77777777" w:rsidR="00F624F6" w:rsidRPr="009B06B0" w:rsidRDefault="00913D26">
                          <w:pPr>
                            <w:spacing w:line="600" w:lineRule="exact"/>
                            <w:ind w:left="20"/>
                            <w:rPr>
                              <w:rFonts w:ascii="Calibri Light" w:eastAsia="Calibri Light" w:hAnsi="Calibri Light" w:cs="Calibri Light"/>
                              <w:sz w:val="44"/>
                              <w:szCs w:val="44"/>
                            </w:rPr>
                          </w:pPr>
                          <w:r w:rsidRPr="009B06B0">
                            <w:rPr>
                              <w:rFonts w:ascii="Calibri Light"/>
                              <w:color w:val="E14E35"/>
                              <w:sz w:val="44"/>
                              <w:szCs w:val="44"/>
                            </w:rPr>
                            <w:t>Guide des d</w:t>
                          </w:r>
                          <w:r w:rsidRPr="009B06B0">
                            <w:rPr>
                              <w:rFonts w:ascii="Calibri Light"/>
                              <w:color w:val="E14E35"/>
                              <w:sz w:val="44"/>
                              <w:szCs w:val="44"/>
                            </w:rPr>
                            <w:t>é</w:t>
                          </w:r>
                          <w:r w:rsidRPr="009B06B0">
                            <w:rPr>
                              <w:rFonts w:ascii="Calibri Light"/>
                              <w:color w:val="E14E35"/>
                              <w:sz w:val="44"/>
                              <w:szCs w:val="44"/>
                            </w:rPr>
                            <w:t>penses admissibles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2C306" id="_x0000_t202" coordsize="21600,21600" o:spt="202" path="m,l,21600r21600,l21600,xe">
              <v:stroke joinstyle="miter"/>
              <v:path gradientshapeok="t" o:connecttype="rect"/>
            </v:shapetype>
            <v:shape id="Text Box 4" o:spid="_x0000_s1026" type="#_x0000_t202" style="position:absolute;margin-left:37.05pt;margin-top:30.95pt;width:305.5pt;height:30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" filled="f" stroked="f">
              <v:textbox inset="0,0,0,0">
                <w:txbxContent>
                  <w:p w14:paraId="0712C30A" w14:textId="77777777" w:rsidR="00F624F6" w:rsidRPr="009B06B0" w:rsidRDefault="00913D26">
                    <w:pPr>
                      <w:spacing w:line="600" w:lineRule="exact"/>
                      <w:ind w:left="20"/>
                      <w:rPr>
                        <w:rFonts w:ascii="Calibri Light" w:eastAsia="Calibri Light" w:hAnsi="Calibri Light" w:cs="Calibri Light"/>
                        <w:sz w:val="44"/>
                        <w:szCs w:val="44"/>
                      </w:rPr>
                    </w:pPr>
                    <w:r w:rsidRPr="009B06B0">
                      <w:rPr>
                        <w:rFonts w:ascii="Calibri Light"/>
                        <w:color w:val="E14E35"/>
                        <w:sz w:val="44"/>
                        <w:szCs w:val="44"/>
                      </w:rPr>
                      <w:t>Guide des d</w:t>
                    </w:r>
                    <w:r w:rsidRPr="009B06B0">
                      <w:rPr>
                        <w:rFonts w:ascii="Calibri Light"/>
                        <w:color w:val="E14E35"/>
                        <w:sz w:val="44"/>
                        <w:szCs w:val="44"/>
                      </w:rPr>
                      <w:t>é</w:t>
                    </w:r>
                    <w:r w:rsidRPr="009B06B0">
                      <w:rPr>
                        <w:rFonts w:ascii="Calibri Light"/>
                        <w:color w:val="E14E35"/>
                        <w:sz w:val="44"/>
                        <w:szCs w:val="44"/>
                      </w:rPr>
                      <w:t>penses admissibles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1D2B"/>
    <w:multiLevelType w:val="hybridMultilevel"/>
    <w:tmpl w:val="11067BB6"/>
    <w:lvl w:ilvl="0" w:tplc="821017D8">
      <w:start w:val="1"/>
      <w:numFmt w:val="bullet"/>
      <w:lvlText w:val=""/>
      <w:lvlJc w:val="left"/>
      <w:pPr>
        <w:ind w:left="720" w:hanging="360"/>
      </w:pPr>
      <w:rPr>
        <w:rFonts w:ascii="Symbol" w:hAnsi="Symbol" w:hint="default"/>
        <w:color w:val="000000" w:themeColor="text1"/>
        <w:w w:val="78"/>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342370"/>
    <w:multiLevelType w:val="hybridMultilevel"/>
    <w:tmpl w:val="9552EF5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DC14E14"/>
    <w:multiLevelType w:val="hybridMultilevel"/>
    <w:tmpl w:val="598A7E18"/>
    <w:lvl w:ilvl="0" w:tplc="EFBEED1E">
      <w:start w:val="1"/>
      <w:numFmt w:val="bullet"/>
      <w:lvlText w:val="✓"/>
      <w:lvlJc w:val="left"/>
      <w:pPr>
        <w:ind w:left="464" w:hanging="360"/>
      </w:pPr>
      <w:rPr>
        <w:rFonts w:ascii="MS Gothic" w:eastAsia="MS Gothic" w:hAnsi="MS Gothic" w:hint="default"/>
        <w:color w:val="006EC0"/>
        <w:w w:val="78"/>
        <w:sz w:val="28"/>
        <w:szCs w:val="28"/>
      </w:rPr>
    </w:lvl>
    <w:lvl w:ilvl="1" w:tplc="3D0A33D6">
      <w:start w:val="1"/>
      <w:numFmt w:val="bullet"/>
      <w:lvlText w:val="•"/>
      <w:lvlJc w:val="left"/>
      <w:pPr>
        <w:ind w:left="1116" w:hanging="360"/>
      </w:pPr>
      <w:rPr>
        <w:rFonts w:hint="default"/>
      </w:rPr>
    </w:lvl>
    <w:lvl w:ilvl="2" w:tplc="255235F8">
      <w:start w:val="1"/>
      <w:numFmt w:val="bullet"/>
      <w:lvlText w:val="•"/>
      <w:lvlJc w:val="left"/>
      <w:pPr>
        <w:ind w:left="1769" w:hanging="360"/>
      </w:pPr>
      <w:rPr>
        <w:rFonts w:hint="default"/>
      </w:rPr>
    </w:lvl>
    <w:lvl w:ilvl="3" w:tplc="F8C67800">
      <w:start w:val="1"/>
      <w:numFmt w:val="bullet"/>
      <w:lvlText w:val="•"/>
      <w:lvlJc w:val="left"/>
      <w:pPr>
        <w:ind w:left="2421" w:hanging="360"/>
      </w:pPr>
      <w:rPr>
        <w:rFonts w:hint="default"/>
      </w:rPr>
    </w:lvl>
    <w:lvl w:ilvl="4" w:tplc="2DBCE2C6">
      <w:start w:val="1"/>
      <w:numFmt w:val="bullet"/>
      <w:lvlText w:val="•"/>
      <w:lvlJc w:val="left"/>
      <w:pPr>
        <w:ind w:left="3074" w:hanging="360"/>
      </w:pPr>
      <w:rPr>
        <w:rFonts w:hint="default"/>
      </w:rPr>
    </w:lvl>
    <w:lvl w:ilvl="5" w:tplc="612C2D52">
      <w:start w:val="1"/>
      <w:numFmt w:val="bullet"/>
      <w:lvlText w:val="•"/>
      <w:lvlJc w:val="left"/>
      <w:pPr>
        <w:ind w:left="3727" w:hanging="360"/>
      </w:pPr>
      <w:rPr>
        <w:rFonts w:hint="default"/>
      </w:rPr>
    </w:lvl>
    <w:lvl w:ilvl="6" w:tplc="F45291EA">
      <w:start w:val="1"/>
      <w:numFmt w:val="bullet"/>
      <w:lvlText w:val="•"/>
      <w:lvlJc w:val="left"/>
      <w:pPr>
        <w:ind w:left="4379" w:hanging="360"/>
      </w:pPr>
      <w:rPr>
        <w:rFonts w:hint="default"/>
      </w:rPr>
    </w:lvl>
    <w:lvl w:ilvl="7" w:tplc="6A7EFA60">
      <w:start w:val="1"/>
      <w:numFmt w:val="bullet"/>
      <w:lvlText w:val="•"/>
      <w:lvlJc w:val="left"/>
      <w:pPr>
        <w:ind w:left="5032" w:hanging="360"/>
      </w:pPr>
      <w:rPr>
        <w:rFonts w:hint="default"/>
      </w:rPr>
    </w:lvl>
    <w:lvl w:ilvl="8" w:tplc="D90E856A">
      <w:start w:val="1"/>
      <w:numFmt w:val="bullet"/>
      <w:lvlText w:val="•"/>
      <w:lvlJc w:val="left"/>
      <w:pPr>
        <w:ind w:left="5684" w:hanging="360"/>
      </w:pPr>
      <w:rPr>
        <w:rFonts w:hint="default"/>
      </w:rPr>
    </w:lvl>
  </w:abstractNum>
  <w:abstractNum w:abstractNumId="3" w15:restartNumberingAfterBreak="0">
    <w:nsid w:val="1DC67472"/>
    <w:multiLevelType w:val="hybridMultilevel"/>
    <w:tmpl w:val="FA0A1756"/>
    <w:lvl w:ilvl="0" w:tplc="D2FCBDC8">
      <w:start w:val="1"/>
      <w:numFmt w:val="bullet"/>
      <w:lvlText w:val=""/>
      <w:lvlJc w:val="left"/>
      <w:pPr>
        <w:ind w:left="720" w:hanging="360"/>
      </w:pPr>
      <w:rPr>
        <w:rFonts w:ascii="Symbol" w:hAnsi="Symbol" w:hint="default"/>
        <w:b/>
        <w:i w:val="0"/>
        <w:color w:val="FF0000"/>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30006F"/>
    <w:multiLevelType w:val="hybridMultilevel"/>
    <w:tmpl w:val="1A46554A"/>
    <w:lvl w:ilvl="0" w:tplc="D2FCBDC8">
      <w:start w:val="1"/>
      <w:numFmt w:val="bullet"/>
      <w:lvlText w:val=""/>
      <w:lvlJc w:val="left"/>
      <w:pPr>
        <w:ind w:left="823" w:hanging="360"/>
      </w:pPr>
      <w:rPr>
        <w:rFonts w:ascii="Symbol" w:hAnsi="Symbol" w:hint="default"/>
        <w:b/>
        <w:i w:val="0"/>
        <w:color w:val="FF0000"/>
        <w:sz w:val="32"/>
      </w:rPr>
    </w:lvl>
    <w:lvl w:ilvl="1" w:tplc="10090003" w:tentative="1">
      <w:start w:val="1"/>
      <w:numFmt w:val="bullet"/>
      <w:lvlText w:val="o"/>
      <w:lvlJc w:val="left"/>
      <w:pPr>
        <w:ind w:left="1543" w:hanging="360"/>
      </w:pPr>
      <w:rPr>
        <w:rFonts w:ascii="Courier New" w:hAnsi="Courier New" w:cs="Courier New" w:hint="default"/>
      </w:rPr>
    </w:lvl>
    <w:lvl w:ilvl="2" w:tplc="10090005" w:tentative="1">
      <w:start w:val="1"/>
      <w:numFmt w:val="bullet"/>
      <w:lvlText w:val=""/>
      <w:lvlJc w:val="left"/>
      <w:pPr>
        <w:ind w:left="2263" w:hanging="360"/>
      </w:pPr>
      <w:rPr>
        <w:rFonts w:ascii="Wingdings" w:hAnsi="Wingdings" w:hint="default"/>
      </w:rPr>
    </w:lvl>
    <w:lvl w:ilvl="3" w:tplc="10090001" w:tentative="1">
      <w:start w:val="1"/>
      <w:numFmt w:val="bullet"/>
      <w:lvlText w:val=""/>
      <w:lvlJc w:val="left"/>
      <w:pPr>
        <w:ind w:left="2983" w:hanging="360"/>
      </w:pPr>
      <w:rPr>
        <w:rFonts w:ascii="Symbol" w:hAnsi="Symbol" w:hint="default"/>
      </w:rPr>
    </w:lvl>
    <w:lvl w:ilvl="4" w:tplc="10090003" w:tentative="1">
      <w:start w:val="1"/>
      <w:numFmt w:val="bullet"/>
      <w:lvlText w:val="o"/>
      <w:lvlJc w:val="left"/>
      <w:pPr>
        <w:ind w:left="3703" w:hanging="360"/>
      </w:pPr>
      <w:rPr>
        <w:rFonts w:ascii="Courier New" w:hAnsi="Courier New" w:cs="Courier New" w:hint="default"/>
      </w:rPr>
    </w:lvl>
    <w:lvl w:ilvl="5" w:tplc="10090005" w:tentative="1">
      <w:start w:val="1"/>
      <w:numFmt w:val="bullet"/>
      <w:lvlText w:val=""/>
      <w:lvlJc w:val="left"/>
      <w:pPr>
        <w:ind w:left="4423" w:hanging="360"/>
      </w:pPr>
      <w:rPr>
        <w:rFonts w:ascii="Wingdings" w:hAnsi="Wingdings" w:hint="default"/>
      </w:rPr>
    </w:lvl>
    <w:lvl w:ilvl="6" w:tplc="10090001" w:tentative="1">
      <w:start w:val="1"/>
      <w:numFmt w:val="bullet"/>
      <w:lvlText w:val=""/>
      <w:lvlJc w:val="left"/>
      <w:pPr>
        <w:ind w:left="5143" w:hanging="360"/>
      </w:pPr>
      <w:rPr>
        <w:rFonts w:ascii="Symbol" w:hAnsi="Symbol" w:hint="default"/>
      </w:rPr>
    </w:lvl>
    <w:lvl w:ilvl="7" w:tplc="10090003" w:tentative="1">
      <w:start w:val="1"/>
      <w:numFmt w:val="bullet"/>
      <w:lvlText w:val="o"/>
      <w:lvlJc w:val="left"/>
      <w:pPr>
        <w:ind w:left="5863" w:hanging="360"/>
      </w:pPr>
      <w:rPr>
        <w:rFonts w:ascii="Courier New" w:hAnsi="Courier New" w:cs="Courier New" w:hint="default"/>
      </w:rPr>
    </w:lvl>
    <w:lvl w:ilvl="8" w:tplc="10090005" w:tentative="1">
      <w:start w:val="1"/>
      <w:numFmt w:val="bullet"/>
      <w:lvlText w:val=""/>
      <w:lvlJc w:val="left"/>
      <w:pPr>
        <w:ind w:left="6583" w:hanging="360"/>
      </w:pPr>
      <w:rPr>
        <w:rFonts w:ascii="Wingdings" w:hAnsi="Wingdings" w:hint="default"/>
      </w:rPr>
    </w:lvl>
  </w:abstractNum>
  <w:abstractNum w:abstractNumId="5" w15:restartNumberingAfterBreak="0">
    <w:nsid w:val="268C7C4F"/>
    <w:multiLevelType w:val="multilevel"/>
    <w:tmpl w:val="9198E5FE"/>
    <w:lvl w:ilvl="0">
      <w:start w:val="1"/>
      <w:numFmt w:val="bullet"/>
      <w:lvlText w:val=""/>
      <w:lvlJc w:val="left"/>
      <w:pPr>
        <w:tabs>
          <w:tab w:val="num" w:pos="360"/>
        </w:tabs>
        <w:ind w:left="360" w:hanging="360"/>
      </w:pPr>
      <w:rPr>
        <w:rFonts w:ascii="Symbol" w:hAnsi="Symbol" w:hint="default"/>
        <w:sz w:val="24"/>
        <w:szCs w:val="3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9B54892"/>
    <w:multiLevelType w:val="hybridMultilevel"/>
    <w:tmpl w:val="0C2C3C66"/>
    <w:lvl w:ilvl="0" w:tplc="0314534C">
      <w:start w:val="1"/>
      <w:numFmt w:val="bullet"/>
      <w:lvlText w:val="✓"/>
      <w:lvlJc w:val="left"/>
      <w:pPr>
        <w:ind w:left="720" w:hanging="360"/>
      </w:pPr>
      <w:rPr>
        <w:rFonts w:ascii="MS Gothic" w:eastAsia="MS Gothic" w:hAnsi="MS Gothic" w:hint="default"/>
        <w:color w:val="006EC0"/>
        <w:w w:val="78"/>
        <w:sz w:val="28"/>
        <w:szCs w:val="28"/>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123B10"/>
    <w:multiLevelType w:val="hybridMultilevel"/>
    <w:tmpl w:val="08C829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A7C7584"/>
    <w:multiLevelType w:val="hybridMultilevel"/>
    <w:tmpl w:val="8572DC8C"/>
    <w:lvl w:ilvl="0" w:tplc="10090001">
      <w:start w:val="1"/>
      <w:numFmt w:val="bullet"/>
      <w:lvlText w:val=""/>
      <w:lvlJc w:val="left"/>
      <w:pPr>
        <w:ind w:left="720" w:hanging="360"/>
      </w:pPr>
      <w:rPr>
        <w:rFonts w:ascii="Symbol" w:hAnsi="Symbol" w:hint="default"/>
        <w:color w:val="006EC0"/>
        <w:w w:val="78"/>
        <w:sz w:val="28"/>
        <w:szCs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329335B"/>
    <w:multiLevelType w:val="hybridMultilevel"/>
    <w:tmpl w:val="A7FAA680"/>
    <w:lvl w:ilvl="0" w:tplc="8102CA6A">
      <w:start w:val="1"/>
      <w:numFmt w:val="bullet"/>
      <w:lvlText w:val=""/>
      <w:lvlJc w:val="left"/>
      <w:pPr>
        <w:ind w:left="720" w:hanging="360"/>
      </w:pPr>
      <w:rPr>
        <w:rFonts w:ascii="Symbol" w:hAnsi="Symbol" w:hint="default"/>
        <w:b/>
        <w:i w:val="0"/>
        <w:color w:val="FF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6565FA"/>
    <w:multiLevelType w:val="hybridMultilevel"/>
    <w:tmpl w:val="CA049FEE"/>
    <w:lvl w:ilvl="0" w:tplc="8102CA6A">
      <w:start w:val="1"/>
      <w:numFmt w:val="bullet"/>
      <w:lvlText w:val=""/>
      <w:lvlJc w:val="left"/>
      <w:pPr>
        <w:ind w:left="823" w:hanging="360"/>
      </w:pPr>
      <w:rPr>
        <w:rFonts w:ascii="Symbol" w:hAnsi="Symbol" w:hint="default"/>
        <w:b/>
        <w:i w:val="0"/>
        <w:color w:val="FF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B806C1"/>
    <w:multiLevelType w:val="hybridMultilevel"/>
    <w:tmpl w:val="C666DCD2"/>
    <w:lvl w:ilvl="0" w:tplc="0314534C">
      <w:start w:val="1"/>
      <w:numFmt w:val="bullet"/>
      <w:lvlText w:val="✓"/>
      <w:lvlJc w:val="left"/>
      <w:pPr>
        <w:ind w:left="720" w:hanging="360"/>
      </w:pPr>
      <w:rPr>
        <w:rFonts w:ascii="MS Gothic" w:eastAsia="MS Gothic" w:hAnsi="MS Gothic" w:hint="default"/>
        <w:color w:val="006EC0"/>
        <w:w w:val="78"/>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36D536C"/>
    <w:multiLevelType w:val="hybridMultilevel"/>
    <w:tmpl w:val="56C2D890"/>
    <w:lvl w:ilvl="0" w:tplc="10090001">
      <w:start w:val="1"/>
      <w:numFmt w:val="bullet"/>
      <w:lvlText w:val=""/>
      <w:lvlJc w:val="left"/>
      <w:pPr>
        <w:ind w:left="824" w:hanging="360"/>
      </w:pPr>
      <w:rPr>
        <w:rFonts w:ascii="Symbol" w:hAnsi="Symbol" w:hint="default"/>
      </w:rPr>
    </w:lvl>
    <w:lvl w:ilvl="1" w:tplc="10090003" w:tentative="1">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abstractNum w:abstractNumId="13" w15:restartNumberingAfterBreak="0">
    <w:nsid w:val="5DA01096"/>
    <w:multiLevelType w:val="hybridMultilevel"/>
    <w:tmpl w:val="F65A90E8"/>
    <w:lvl w:ilvl="0" w:tplc="87486154">
      <w:start w:val="1"/>
      <w:numFmt w:val="bullet"/>
      <w:lvlText w:val="✓"/>
      <w:lvlJc w:val="left"/>
      <w:pPr>
        <w:ind w:left="464" w:hanging="360"/>
      </w:pPr>
      <w:rPr>
        <w:rFonts w:ascii="MS Gothic" w:eastAsia="MS Gothic" w:hAnsi="MS Gothic" w:hint="default"/>
        <w:color w:val="006EC0"/>
        <w:w w:val="78"/>
        <w:sz w:val="28"/>
        <w:szCs w:val="28"/>
      </w:rPr>
    </w:lvl>
    <w:lvl w:ilvl="1" w:tplc="4676928A">
      <w:start w:val="1"/>
      <w:numFmt w:val="bullet"/>
      <w:lvlText w:val="•"/>
      <w:lvlJc w:val="left"/>
      <w:pPr>
        <w:ind w:left="1118" w:hanging="360"/>
      </w:pPr>
      <w:rPr>
        <w:rFonts w:hint="default"/>
      </w:rPr>
    </w:lvl>
    <w:lvl w:ilvl="2" w:tplc="450422AA">
      <w:start w:val="1"/>
      <w:numFmt w:val="bullet"/>
      <w:lvlText w:val="•"/>
      <w:lvlJc w:val="left"/>
      <w:pPr>
        <w:ind w:left="1773" w:hanging="360"/>
      </w:pPr>
      <w:rPr>
        <w:rFonts w:hint="default"/>
      </w:rPr>
    </w:lvl>
    <w:lvl w:ilvl="3" w:tplc="31BA19CE">
      <w:start w:val="1"/>
      <w:numFmt w:val="bullet"/>
      <w:lvlText w:val="•"/>
      <w:lvlJc w:val="left"/>
      <w:pPr>
        <w:ind w:left="2427" w:hanging="360"/>
      </w:pPr>
      <w:rPr>
        <w:rFonts w:hint="default"/>
      </w:rPr>
    </w:lvl>
    <w:lvl w:ilvl="4" w:tplc="3306FE24">
      <w:start w:val="1"/>
      <w:numFmt w:val="bullet"/>
      <w:lvlText w:val="•"/>
      <w:lvlJc w:val="left"/>
      <w:pPr>
        <w:ind w:left="3082" w:hanging="360"/>
      </w:pPr>
      <w:rPr>
        <w:rFonts w:hint="default"/>
      </w:rPr>
    </w:lvl>
    <w:lvl w:ilvl="5" w:tplc="533455D0">
      <w:start w:val="1"/>
      <w:numFmt w:val="bullet"/>
      <w:lvlText w:val="•"/>
      <w:lvlJc w:val="left"/>
      <w:pPr>
        <w:ind w:left="3737" w:hanging="360"/>
      </w:pPr>
      <w:rPr>
        <w:rFonts w:hint="default"/>
      </w:rPr>
    </w:lvl>
    <w:lvl w:ilvl="6" w:tplc="76E23D0C">
      <w:start w:val="1"/>
      <w:numFmt w:val="bullet"/>
      <w:lvlText w:val="•"/>
      <w:lvlJc w:val="left"/>
      <w:pPr>
        <w:ind w:left="4391" w:hanging="360"/>
      </w:pPr>
      <w:rPr>
        <w:rFonts w:hint="default"/>
      </w:rPr>
    </w:lvl>
    <w:lvl w:ilvl="7" w:tplc="51EE9762">
      <w:start w:val="1"/>
      <w:numFmt w:val="bullet"/>
      <w:lvlText w:val="•"/>
      <w:lvlJc w:val="left"/>
      <w:pPr>
        <w:ind w:left="5046" w:hanging="360"/>
      </w:pPr>
      <w:rPr>
        <w:rFonts w:hint="default"/>
      </w:rPr>
    </w:lvl>
    <w:lvl w:ilvl="8" w:tplc="0F6E6B08">
      <w:start w:val="1"/>
      <w:numFmt w:val="bullet"/>
      <w:lvlText w:val="•"/>
      <w:lvlJc w:val="left"/>
      <w:pPr>
        <w:ind w:left="5700" w:hanging="360"/>
      </w:pPr>
      <w:rPr>
        <w:rFonts w:hint="default"/>
      </w:rPr>
    </w:lvl>
  </w:abstractNum>
  <w:abstractNum w:abstractNumId="14" w15:restartNumberingAfterBreak="0">
    <w:nsid w:val="702F7EDA"/>
    <w:multiLevelType w:val="hybridMultilevel"/>
    <w:tmpl w:val="E8EE9BF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5" w15:restartNumberingAfterBreak="0">
    <w:nsid w:val="75BD177A"/>
    <w:multiLevelType w:val="hybridMultilevel"/>
    <w:tmpl w:val="731A3F50"/>
    <w:lvl w:ilvl="0" w:tplc="0314534C">
      <w:start w:val="1"/>
      <w:numFmt w:val="bullet"/>
      <w:lvlText w:val="✓"/>
      <w:lvlJc w:val="left"/>
      <w:pPr>
        <w:ind w:left="464" w:hanging="360"/>
      </w:pPr>
      <w:rPr>
        <w:rFonts w:ascii="MS Gothic" w:eastAsia="MS Gothic" w:hAnsi="MS Gothic" w:hint="default"/>
        <w:color w:val="006EC0"/>
        <w:w w:val="78"/>
        <w:sz w:val="28"/>
        <w:szCs w:val="28"/>
      </w:rPr>
    </w:lvl>
    <w:lvl w:ilvl="1" w:tplc="DFAC65E2">
      <w:start w:val="1"/>
      <w:numFmt w:val="bullet"/>
      <w:lvlText w:val="•"/>
      <w:lvlJc w:val="left"/>
      <w:pPr>
        <w:ind w:left="1115" w:hanging="360"/>
      </w:pPr>
      <w:rPr>
        <w:rFonts w:hint="default"/>
      </w:rPr>
    </w:lvl>
    <w:lvl w:ilvl="2" w:tplc="FDBE128E">
      <w:start w:val="1"/>
      <w:numFmt w:val="bullet"/>
      <w:lvlText w:val="•"/>
      <w:lvlJc w:val="left"/>
      <w:pPr>
        <w:ind w:left="1767" w:hanging="360"/>
      </w:pPr>
      <w:rPr>
        <w:rFonts w:hint="default"/>
      </w:rPr>
    </w:lvl>
    <w:lvl w:ilvl="3" w:tplc="343A113C">
      <w:start w:val="1"/>
      <w:numFmt w:val="bullet"/>
      <w:lvlText w:val="•"/>
      <w:lvlJc w:val="left"/>
      <w:pPr>
        <w:ind w:left="2418" w:hanging="360"/>
      </w:pPr>
      <w:rPr>
        <w:rFonts w:hint="default"/>
      </w:rPr>
    </w:lvl>
    <w:lvl w:ilvl="4" w:tplc="91CCBB28">
      <w:start w:val="1"/>
      <w:numFmt w:val="bullet"/>
      <w:lvlText w:val="•"/>
      <w:lvlJc w:val="left"/>
      <w:pPr>
        <w:ind w:left="3070" w:hanging="360"/>
      </w:pPr>
      <w:rPr>
        <w:rFonts w:hint="default"/>
      </w:rPr>
    </w:lvl>
    <w:lvl w:ilvl="5" w:tplc="862E36E4">
      <w:start w:val="1"/>
      <w:numFmt w:val="bullet"/>
      <w:lvlText w:val="•"/>
      <w:lvlJc w:val="left"/>
      <w:pPr>
        <w:ind w:left="3722" w:hanging="360"/>
      </w:pPr>
      <w:rPr>
        <w:rFonts w:hint="default"/>
      </w:rPr>
    </w:lvl>
    <w:lvl w:ilvl="6" w:tplc="200CB33E">
      <w:start w:val="1"/>
      <w:numFmt w:val="bullet"/>
      <w:lvlText w:val="•"/>
      <w:lvlJc w:val="left"/>
      <w:pPr>
        <w:ind w:left="4373" w:hanging="360"/>
      </w:pPr>
      <w:rPr>
        <w:rFonts w:hint="default"/>
      </w:rPr>
    </w:lvl>
    <w:lvl w:ilvl="7" w:tplc="FA02EC78">
      <w:start w:val="1"/>
      <w:numFmt w:val="bullet"/>
      <w:lvlText w:val="•"/>
      <w:lvlJc w:val="left"/>
      <w:pPr>
        <w:ind w:left="5025" w:hanging="360"/>
      </w:pPr>
      <w:rPr>
        <w:rFonts w:hint="default"/>
      </w:rPr>
    </w:lvl>
    <w:lvl w:ilvl="8" w:tplc="596AA6D8">
      <w:start w:val="1"/>
      <w:numFmt w:val="bullet"/>
      <w:lvlText w:val="•"/>
      <w:lvlJc w:val="left"/>
      <w:pPr>
        <w:ind w:left="5676" w:hanging="360"/>
      </w:pPr>
      <w:rPr>
        <w:rFonts w:hint="default"/>
      </w:rPr>
    </w:lvl>
  </w:abstractNum>
  <w:abstractNum w:abstractNumId="16" w15:restartNumberingAfterBreak="0">
    <w:nsid w:val="767C5484"/>
    <w:multiLevelType w:val="hybridMultilevel"/>
    <w:tmpl w:val="C608D472"/>
    <w:lvl w:ilvl="0" w:tplc="10090001">
      <w:start w:val="1"/>
      <w:numFmt w:val="bullet"/>
      <w:lvlText w:val=""/>
      <w:lvlJc w:val="left"/>
      <w:pPr>
        <w:ind w:left="720" w:hanging="360"/>
      </w:pPr>
      <w:rPr>
        <w:rFonts w:ascii="Symbol" w:hAnsi="Symbol" w:hint="default"/>
        <w:color w:val="006EC0"/>
        <w:w w:val="78"/>
        <w:sz w:val="28"/>
        <w:szCs w:val="2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8B61F87"/>
    <w:multiLevelType w:val="hybridMultilevel"/>
    <w:tmpl w:val="83CC8F6E"/>
    <w:lvl w:ilvl="0" w:tplc="E0FA5D3C">
      <w:start w:val="1"/>
      <w:numFmt w:val="decimal"/>
      <w:lvlText w:val="%1."/>
      <w:lvlJc w:val="left"/>
      <w:pPr>
        <w:ind w:left="720" w:hanging="360"/>
      </w:pPr>
      <w:rPr>
        <w:rFonts w:ascii="Calibri" w:eastAsia="Calibri" w:hAnsi="Calibri" w:hint="default"/>
        <w:spacing w:val="-2"/>
        <w:sz w:val="20"/>
        <w:szCs w:val="20"/>
      </w:rPr>
    </w:lvl>
    <w:lvl w:ilvl="1" w:tplc="41CA7504">
      <w:start w:val="1"/>
      <w:numFmt w:val="bullet"/>
      <w:lvlText w:val="•"/>
      <w:lvlJc w:val="left"/>
      <w:pPr>
        <w:ind w:left="2096" w:hanging="360"/>
      </w:pPr>
      <w:rPr>
        <w:rFonts w:hint="default"/>
      </w:rPr>
    </w:lvl>
    <w:lvl w:ilvl="2" w:tplc="ACF6D9EC">
      <w:start w:val="1"/>
      <w:numFmt w:val="bullet"/>
      <w:lvlText w:val="•"/>
      <w:lvlJc w:val="left"/>
      <w:pPr>
        <w:ind w:left="3472" w:hanging="360"/>
      </w:pPr>
      <w:rPr>
        <w:rFonts w:hint="default"/>
      </w:rPr>
    </w:lvl>
    <w:lvl w:ilvl="3" w:tplc="BE66C4A6">
      <w:start w:val="1"/>
      <w:numFmt w:val="bullet"/>
      <w:lvlText w:val="•"/>
      <w:lvlJc w:val="left"/>
      <w:pPr>
        <w:ind w:left="4848" w:hanging="360"/>
      </w:pPr>
      <w:rPr>
        <w:rFonts w:hint="default"/>
      </w:rPr>
    </w:lvl>
    <w:lvl w:ilvl="4" w:tplc="9D9272D8">
      <w:start w:val="1"/>
      <w:numFmt w:val="bullet"/>
      <w:lvlText w:val="•"/>
      <w:lvlJc w:val="left"/>
      <w:pPr>
        <w:ind w:left="6224" w:hanging="360"/>
      </w:pPr>
      <w:rPr>
        <w:rFonts w:hint="default"/>
      </w:rPr>
    </w:lvl>
    <w:lvl w:ilvl="5" w:tplc="30FED09E">
      <w:start w:val="1"/>
      <w:numFmt w:val="bullet"/>
      <w:lvlText w:val="•"/>
      <w:lvlJc w:val="left"/>
      <w:pPr>
        <w:ind w:left="7600" w:hanging="360"/>
      </w:pPr>
      <w:rPr>
        <w:rFonts w:hint="default"/>
      </w:rPr>
    </w:lvl>
    <w:lvl w:ilvl="6" w:tplc="D90A0DF2">
      <w:start w:val="1"/>
      <w:numFmt w:val="bullet"/>
      <w:lvlText w:val="•"/>
      <w:lvlJc w:val="left"/>
      <w:pPr>
        <w:ind w:left="8976" w:hanging="360"/>
      </w:pPr>
      <w:rPr>
        <w:rFonts w:hint="default"/>
      </w:rPr>
    </w:lvl>
    <w:lvl w:ilvl="7" w:tplc="5B4CC4C2">
      <w:start w:val="1"/>
      <w:numFmt w:val="bullet"/>
      <w:lvlText w:val="•"/>
      <w:lvlJc w:val="left"/>
      <w:pPr>
        <w:ind w:left="10352" w:hanging="360"/>
      </w:pPr>
      <w:rPr>
        <w:rFonts w:hint="default"/>
      </w:rPr>
    </w:lvl>
    <w:lvl w:ilvl="8" w:tplc="C94AC05E">
      <w:start w:val="1"/>
      <w:numFmt w:val="bullet"/>
      <w:lvlText w:val="•"/>
      <w:lvlJc w:val="left"/>
      <w:pPr>
        <w:ind w:left="11728" w:hanging="360"/>
      </w:pPr>
      <w:rPr>
        <w:rFonts w:hint="default"/>
      </w:rPr>
    </w:lvl>
  </w:abstractNum>
  <w:abstractNum w:abstractNumId="18" w15:restartNumberingAfterBreak="0">
    <w:nsid w:val="7ABE1D25"/>
    <w:multiLevelType w:val="hybridMultilevel"/>
    <w:tmpl w:val="937A569E"/>
    <w:lvl w:ilvl="0" w:tplc="10090001">
      <w:start w:val="1"/>
      <w:numFmt w:val="bullet"/>
      <w:lvlText w:val=""/>
      <w:lvlJc w:val="left"/>
      <w:pPr>
        <w:ind w:left="824" w:hanging="360"/>
      </w:pPr>
      <w:rPr>
        <w:rFonts w:ascii="Symbol" w:hAnsi="Symbol" w:hint="default"/>
      </w:rPr>
    </w:lvl>
    <w:lvl w:ilvl="1" w:tplc="10090003" w:tentative="1">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num w:numId="1" w16cid:durableId="1206913151">
    <w:abstractNumId w:val="15"/>
  </w:num>
  <w:num w:numId="2" w16cid:durableId="1217742982">
    <w:abstractNumId w:val="13"/>
  </w:num>
  <w:num w:numId="3" w16cid:durableId="1307514139">
    <w:abstractNumId w:val="2"/>
  </w:num>
  <w:num w:numId="4" w16cid:durableId="1279603916">
    <w:abstractNumId w:val="17"/>
  </w:num>
  <w:num w:numId="5" w16cid:durableId="901598875">
    <w:abstractNumId w:val="12"/>
  </w:num>
  <w:num w:numId="6" w16cid:durableId="2034844372">
    <w:abstractNumId w:val="18"/>
  </w:num>
  <w:num w:numId="7" w16cid:durableId="875460187">
    <w:abstractNumId w:val="5"/>
  </w:num>
  <w:num w:numId="8" w16cid:durableId="801263399">
    <w:abstractNumId w:val="11"/>
  </w:num>
  <w:num w:numId="9" w16cid:durableId="534005958">
    <w:abstractNumId w:val="6"/>
  </w:num>
  <w:num w:numId="10" w16cid:durableId="970331520">
    <w:abstractNumId w:val="1"/>
  </w:num>
  <w:num w:numId="11" w16cid:durableId="1674722486">
    <w:abstractNumId w:val="10"/>
  </w:num>
  <w:num w:numId="12" w16cid:durableId="1680742245">
    <w:abstractNumId w:val="4"/>
  </w:num>
  <w:num w:numId="13" w16cid:durableId="1441336194">
    <w:abstractNumId w:val="3"/>
  </w:num>
  <w:num w:numId="14" w16cid:durableId="1109664661">
    <w:abstractNumId w:val="7"/>
  </w:num>
  <w:num w:numId="15" w16cid:durableId="1135293985">
    <w:abstractNumId w:val="9"/>
  </w:num>
  <w:num w:numId="16" w16cid:durableId="306471787">
    <w:abstractNumId w:val="14"/>
  </w:num>
  <w:num w:numId="17" w16cid:durableId="673387142">
    <w:abstractNumId w:val="8"/>
  </w:num>
  <w:num w:numId="18" w16cid:durableId="217206444">
    <w:abstractNumId w:val="16"/>
  </w:num>
  <w:num w:numId="19" w16cid:durableId="1138767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F6"/>
    <w:rsid w:val="0000309C"/>
    <w:rsid w:val="00004CE6"/>
    <w:rsid w:val="00005470"/>
    <w:rsid w:val="00021EA0"/>
    <w:rsid w:val="000221AC"/>
    <w:rsid w:val="00034ACE"/>
    <w:rsid w:val="000567AB"/>
    <w:rsid w:val="00067BD1"/>
    <w:rsid w:val="000951F8"/>
    <w:rsid w:val="000A3571"/>
    <w:rsid w:val="000D5AA5"/>
    <w:rsid w:val="000F72E8"/>
    <w:rsid w:val="000F756F"/>
    <w:rsid w:val="001126FC"/>
    <w:rsid w:val="00117966"/>
    <w:rsid w:val="00122D40"/>
    <w:rsid w:val="00136E73"/>
    <w:rsid w:val="001665F6"/>
    <w:rsid w:val="00173D60"/>
    <w:rsid w:val="001913E4"/>
    <w:rsid w:val="00193479"/>
    <w:rsid w:val="001A1C50"/>
    <w:rsid w:val="001B204D"/>
    <w:rsid w:val="001B6EE4"/>
    <w:rsid w:val="001D2D6F"/>
    <w:rsid w:val="001F507C"/>
    <w:rsid w:val="002050BD"/>
    <w:rsid w:val="002164F0"/>
    <w:rsid w:val="00230272"/>
    <w:rsid w:val="00231CDB"/>
    <w:rsid w:val="00244199"/>
    <w:rsid w:val="00264923"/>
    <w:rsid w:val="00271377"/>
    <w:rsid w:val="00273ACC"/>
    <w:rsid w:val="002742AA"/>
    <w:rsid w:val="00274771"/>
    <w:rsid w:val="00282384"/>
    <w:rsid w:val="00292307"/>
    <w:rsid w:val="00297E5C"/>
    <w:rsid w:val="002A1B78"/>
    <w:rsid w:val="002B1985"/>
    <w:rsid w:val="002B1C57"/>
    <w:rsid w:val="002B4E50"/>
    <w:rsid w:val="002E0ADA"/>
    <w:rsid w:val="002E2326"/>
    <w:rsid w:val="002F2C90"/>
    <w:rsid w:val="002F31EB"/>
    <w:rsid w:val="00301840"/>
    <w:rsid w:val="00312FCB"/>
    <w:rsid w:val="00346950"/>
    <w:rsid w:val="003630E1"/>
    <w:rsid w:val="00371B83"/>
    <w:rsid w:val="00373709"/>
    <w:rsid w:val="003810E2"/>
    <w:rsid w:val="003B5606"/>
    <w:rsid w:val="003B6B89"/>
    <w:rsid w:val="003D7386"/>
    <w:rsid w:val="004032B0"/>
    <w:rsid w:val="00426DA9"/>
    <w:rsid w:val="00434F25"/>
    <w:rsid w:val="004416B6"/>
    <w:rsid w:val="00466A4A"/>
    <w:rsid w:val="0048263F"/>
    <w:rsid w:val="0048597B"/>
    <w:rsid w:val="00485C0D"/>
    <w:rsid w:val="004B38AC"/>
    <w:rsid w:val="004D0959"/>
    <w:rsid w:val="004E4341"/>
    <w:rsid w:val="004E6A7B"/>
    <w:rsid w:val="005013CB"/>
    <w:rsid w:val="0050421A"/>
    <w:rsid w:val="0051757B"/>
    <w:rsid w:val="00555DCA"/>
    <w:rsid w:val="00557DF7"/>
    <w:rsid w:val="005B3D32"/>
    <w:rsid w:val="005D19C1"/>
    <w:rsid w:val="005D2D1E"/>
    <w:rsid w:val="005F4704"/>
    <w:rsid w:val="00641FC7"/>
    <w:rsid w:val="00664AB8"/>
    <w:rsid w:val="006710EE"/>
    <w:rsid w:val="006770BB"/>
    <w:rsid w:val="0071433D"/>
    <w:rsid w:val="007245D6"/>
    <w:rsid w:val="0074289D"/>
    <w:rsid w:val="0078346D"/>
    <w:rsid w:val="007955C8"/>
    <w:rsid w:val="007A608A"/>
    <w:rsid w:val="007C222F"/>
    <w:rsid w:val="007D0932"/>
    <w:rsid w:val="007F0368"/>
    <w:rsid w:val="008102DF"/>
    <w:rsid w:val="00841E07"/>
    <w:rsid w:val="00842FB9"/>
    <w:rsid w:val="00844078"/>
    <w:rsid w:val="00853E28"/>
    <w:rsid w:val="008754FF"/>
    <w:rsid w:val="0088079E"/>
    <w:rsid w:val="008B467E"/>
    <w:rsid w:val="00913D26"/>
    <w:rsid w:val="00947F44"/>
    <w:rsid w:val="00960AB9"/>
    <w:rsid w:val="0097784A"/>
    <w:rsid w:val="009859A1"/>
    <w:rsid w:val="00995268"/>
    <w:rsid w:val="009B06B0"/>
    <w:rsid w:val="009B6E73"/>
    <w:rsid w:val="009D1463"/>
    <w:rsid w:val="009E0C25"/>
    <w:rsid w:val="00A12939"/>
    <w:rsid w:val="00A1342F"/>
    <w:rsid w:val="00A15110"/>
    <w:rsid w:val="00A21148"/>
    <w:rsid w:val="00A2309A"/>
    <w:rsid w:val="00A555FE"/>
    <w:rsid w:val="00A625D2"/>
    <w:rsid w:val="00A843FB"/>
    <w:rsid w:val="00A87782"/>
    <w:rsid w:val="00A957D7"/>
    <w:rsid w:val="00AA514A"/>
    <w:rsid w:val="00AB0680"/>
    <w:rsid w:val="00AB39E4"/>
    <w:rsid w:val="00AB5D15"/>
    <w:rsid w:val="00AC15B3"/>
    <w:rsid w:val="00AE04AE"/>
    <w:rsid w:val="00AE15A6"/>
    <w:rsid w:val="00B00ED0"/>
    <w:rsid w:val="00B22C53"/>
    <w:rsid w:val="00B23BD2"/>
    <w:rsid w:val="00B325AD"/>
    <w:rsid w:val="00B3559C"/>
    <w:rsid w:val="00B4278C"/>
    <w:rsid w:val="00B47678"/>
    <w:rsid w:val="00B50011"/>
    <w:rsid w:val="00B56700"/>
    <w:rsid w:val="00B61A02"/>
    <w:rsid w:val="00B62641"/>
    <w:rsid w:val="00B74AE1"/>
    <w:rsid w:val="00BA1D31"/>
    <w:rsid w:val="00BB5AA3"/>
    <w:rsid w:val="00BD0C07"/>
    <w:rsid w:val="00C227DF"/>
    <w:rsid w:val="00C27B7B"/>
    <w:rsid w:val="00C504D3"/>
    <w:rsid w:val="00C84FF6"/>
    <w:rsid w:val="00C87619"/>
    <w:rsid w:val="00CD7517"/>
    <w:rsid w:val="00CE2C9E"/>
    <w:rsid w:val="00CF5BA2"/>
    <w:rsid w:val="00CF5CB2"/>
    <w:rsid w:val="00CF6767"/>
    <w:rsid w:val="00D15880"/>
    <w:rsid w:val="00D73B73"/>
    <w:rsid w:val="00D9550E"/>
    <w:rsid w:val="00D95757"/>
    <w:rsid w:val="00D963A2"/>
    <w:rsid w:val="00DA5302"/>
    <w:rsid w:val="00DC4C5C"/>
    <w:rsid w:val="00DD69ED"/>
    <w:rsid w:val="00DE530E"/>
    <w:rsid w:val="00E07B52"/>
    <w:rsid w:val="00E126E8"/>
    <w:rsid w:val="00E21EDA"/>
    <w:rsid w:val="00E32E78"/>
    <w:rsid w:val="00E44D33"/>
    <w:rsid w:val="00E4524E"/>
    <w:rsid w:val="00E47E71"/>
    <w:rsid w:val="00E50C9A"/>
    <w:rsid w:val="00E55750"/>
    <w:rsid w:val="00E66261"/>
    <w:rsid w:val="00E80C05"/>
    <w:rsid w:val="00E84821"/>
    <w:rsid w:val="00EB09B7"/>
    <w:rsid w:val="00EB1ECA"/>
    <w:rsid w:val="00EC38B6"/>
    <w:rsid w:val="00ED2E5A"/>
    <w:rsid w:val="00ED4520"/>
    <w:rsid w:val="00EF59AA"/>
    <w:rsid w:val="00F12F56"/>
    <w:rsid w:val="00F42295"/>
    <w:rsid w:val="00F52E5F"/>
    <w:rsid w:val="00F600FA"/>
    <w:rsid w:val="00F624F6"/>
    <w:rsid w:val="00F901A4"/>
    <w:rsid w:val="00FB5C4C"/>
    <w:rsid w:val="00FC4B21"/>
    <w:rsid w:val="00FD1B4F"/>
    <w:rsid w:val="00FE03F2"/>
    <w:rsid w:val="00FF259D"/>
    <w:rsid w:val="0F2E56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2C28B"/>
  <w15:docId w15:val="{EFD980C7-F2E4-483D-BA78-A2B83705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6028"/>
      <w:outlineLvl w:val="0"/>
    </w:pPr>
    <w:rPr>
      <w:rFonts w:ascii="Calibri" w:eastAsia="Calibri" w:hAnsi="Calibri"/>
      <w:b/>
      <w:bCs/>
      <w:sz w:val="24"/>
      <w:szCs w:val="24"/>
    </w:rPr>
  </w:style>
  <w:style w:type="paragraph" w:styleId="Heading2">
    <w:name w:val="heading 2"/>
    <w:basedOn w:val="Normal"/>
    <w:uiPriority w:val="9"/>
    <w:unhideWhenUsed/>
    <w:qFormat/>
    <w:pPr>
      <w:ind w:left="205"/>
      <w:outlineLvl w:val="1"/>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0"/>
    </w:pPr>
    <w:rPr>
      <w:rFonts w:ascii="Calibri" w:eastAsia="Calibri" w:hAnsi="Calibri"/>
      <w:sz w:val="20"/>
      <w:szCs w:val="20"/>
    </w:rPr>
  </w:style>
  <w:style w:type="paragraph" w:styleId="ListParagraph">
    <w:name w:val="List Paragraph"/>
    <w:aliases w:val="Unordered List Level 1,Bullet List 1,Heading 4 test,List Paragraph1,Recommendation,List Paragraph11,L,List Paragraph2,CV text,Table text,F5 List Paragraph,Dot pt,List Paragraph111,Medium Grid 1 - Accent 21,Numbered Paragraph,Bullet text,3"/>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2295"/>
    <w:pPr>
      <w:tabs>
        <w:tab w:val="center" w:pos="4680"/>
        <w:tab w:val="right" w:pos="9360"/>
      </w:tabs>
    </w:pPr>
  </w:style>
  <w:style w:type="character" w:customStyle="1" w:styleId="HeaderChar">
    <w:name w:val="Header Char"/>
    <w:basedOn w:val="DefaultParagraphFont"/>
    <w:link w:val="Header"/>
    <w:uiPriority w:val="99"/>
    <w:rsid w:val="00F42295"/>
  </w:style>
  <w:style w:type="paragraph" w:styleId="Footer">
    <w:name w:val="footer"/>
    <w:basedOn w:val="Normal"/>
    <w:link w:val="FooterChar"/>
    <w:uiPriority w:val="99"/>
    <w:unhideWhenUsed/>
    <w:rsid w:val="00F42295"/>
    <w:pPr>
      <w:tabs>
        <w:tab w:val="center" w:pos="4680"/>
        <w:tab w:val="right" w:pos="9360"/>
      </w:tabs>
    </w:pPr>
  </w:style>
  <w:style w:type="character" w:customStyle="1" w:styleId="FooterChar">
    <w:name w:val="Footer Char"/>
    <w:basedOn w:val="DefaultParagraphFont"/>
    <w:link w:val="Footer"/>
    <w:uiPriority w:val="99"/>
    <w:rsid w:val="00F42295"/>
  </w:style>
  <w:style w:type="character" w:customStyle="1" w:styleId="ListParagraphChar">
    <w:name w:val="List Paragraph Char"/>
    <w:aliases w:val="Unordered List Level 1 Char,Bullet List 1 Char,Heading 4 test Char,List Paragraph1 Char,Recommendation Char,List Paragraph11 Char,L Char,List Paragraph2 Char,CV text Char,Table text Char,F5 List Paragraph Char,Dot pt Char,3 Char"/>
    <w:link w:val="ListParagraph"/>
    <w:uiPriority w:val="34"/>
    <w:locked/>
    <w:rsid w:val="00E47E71"/>
  </w:style>
  <w:style w:type="paragraph" w:styleId="NoSpacing">
    <w:name w:val="No Spacing"/>
    <w:link w:val="NoSpacingChar"/>
    <w:uiPriority w:val="1"/>
    <w:qFormat/>
    <w:rsid w:val="0000309C"/>
    <w:pPr>
      <w:widowControl/>
    </w:pPr>
    <w:rPr>
      <w:rFonts w:ascii="Arial" w:eastAsia="Arial" w:hAnsi="Arial" w:cs="Arial"/>
      <w:sz w:val="24"/>
    </w:rPr>
  </w:style>
  <w:style w:type="character" w:customStyle="1" w:styleId="NoSpacingChar">
    <w:name w:val="No Spacing Char"/>
    <w:link w:val="NoSpacing"/>
    <w:uiPriority w:val="1"/>
    <w:rsid w:val="0000309C"/>
    <w:rPr>
      <w:rFonts w:ascii="Arial" w:eastAsia="Arial" w:hAnsi="Arial" w:cs="Arial"/>
      <w:sz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457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fr/lois/loi/10b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39F0C-5C0E-4C28-A1F3-514C0207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Links>
    <vt:vector size="6" baseType="variant">
      <vt:variant>
        <vt:i4>1507348</vt:i4>
      </vt:variant>
      <vt:variant>
        <vt:i4>0</vt:i4>
      </vt:variant>
      <vt:variant>
        <vt:i4>0</vt:i4>
      </vt:variant>
      <vt:variant>
        <vt:i4>5</vt:i4>
      </vt:variant>
      <vt:variant>
        <vt:lpwstr>http://www.ontario.ca/laws/statute/10b25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Wilson</dc:creator>
  <cp:keywords/>
  <cp:lastModifiedBy>Isabelle Lagacé</cp:lastModifiedBy>
  <cp:revision>9</cp:revision>
  <dcterms:created xsi:type="dcterms:W3CDTF">2022-12-06T15:18:00Z</dcterms:created>
  <dcterms:modified xsi:type="dcterms:W3CDTF">2022-12-12T18:34:00Z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LastSaved">
    <vt:filetime>2022-11-08T00:00:00Z</vt:filetime>
  </property>
</Properties>
</file>